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89" w:rsidRPr="008D1213" w:rsidRDefault="00A85589" w:rsidP="00A85589">
      <w:pPr>
        <w:pStyle w:val="1"/>
        <w:spacing w:before="288" w:after="288"/>
      </w:pPr>
      <w:r w:rsidRPr="008D1213">
        <w:t xml:space="preserve">Программы подготовки менеджеров в сфере культуры на службе мобильности (на примере проекта «Развитие профессиональных навыков в области инновационного культурного менеджмента в целях углубления культурного сотрудничества между Калининградской областью и странами региона Балтийского моря») </w:t>
      </w:r>
    </w:p>
    <w:p w:rsidR="00A85589" w:rsidRPr="00AE40BE" w:rsidRDefault="00A85589" w:rsidP="00A85589">
      <w:pPr>
        <w:ind w:firstLine="0"/>
        <w:rPr>
          <w:rStyle w:val="a3"/>
        </w:rPr>
      </w:pPr>
      <w:r w:rsidRPr="00AE40BE">
        <w:rPr>
          <w:rStyle w:val="a3"/>
        </w:rPr>
        <w:t>Бардун Юлия Юрьевна</w:t>
      </w:r>
    </w:p>
    <w:p w:rsidR="00A85589" w:rsidRPr="005C7818" w:rsidRDefault="00A85589" w:rsidP="00A85589">
      <w:pPr>
        <w:spacing w:after="0"/>
        <w:ind w:firstLine="0"/>
        <w:jc w:val="left"/>
        <w:rPr>
          <w:rFonts w:ascii="Calibri" w:eastAsia="Times New Roman" w:hAnsi="Calibri"/>
          <w:color w:val="000000"/>
          <w:lang w:eastAsia="ru-RU"/>
        </w:rPr>
      </w:pPr>
      <w:r w:rsidRPr="005C7818">
        <w:rPr>
          <w:rFonts w:ascii="Calibri" w:eastAsia="Times New Roman" w:hAnsi="Calibri"/>
          <w:color w:val="000000"/>
          <w:lang w:eastAsia="ru-RU"/>
        </w:rPr>
        <w:t>Директор</w:t>
      </w:r>
      <w:r w:rsidRPr="005C7818">
        <w:rPr>
          <w:rFonts w:ascii="Calibri" w:eastAsia="Times New Roman" w:hAnsi="Calibri"/>
          <w:b/>
          <w:color w:val="000000"/>
          <w:lang w:eastAsia="ru-RU"/>
        </w:rPr>
        <w:t xml:space="preserve"> </w:t>
      </w:r>
      <w:r w:rsidRPr="005C7818">
        <w:rPr>
          <w:rFonts w:ascii="Calibri" w:eastAsia="Times New Roman" w:hAnsi="Calibri"/>
          <w:color w:val="000000"/>
          <w:lang w:eastAsia="ru-RU"/>
        </w:rPr>
        <w:t>КРОО Агентство поддержки культурных инициатив «ТРАНЗИТ»</w:t>
      </w:r>
    </w:p>
    <w:p w:rsidR="00A85589" w:rsidRPr="005C7818" w:rsidRDefault="00A85589" w:rsidP="00A85589">
      <w:pPr>
        <w:spacing w:after="0"/>
        <w:ind w:firstLine="0"/>
        <w:jc w:val="left"/>
        <w:rPr>
          <w:rFonts w:ascii="Calibri" w:hAnsi="Calibri"/>
        </w:rPr>
      </w:pPr>
      <w:r w:rsidRPr="005C7818">
        <w:rPr>
          <w:rFonts w:ascii="Calibri" w:hAnsi="Calibri"/>
        </w:rPr>
        <w:t>Заместитель директора по организационным вопросам Калининградского филиала Государственного центра современного искусства</w:t>
      </w:r>
    </w:p>
    <w:p w:rsidR="00A85589" w:rsidRPr="00116D57" w:rsidRDefault="00A85589" w:rsidP="00A85589">
      <w:r w:rsidRPr="00116D57">
        <w:t xml:space="preserve">Калининградская область – самый западный и один из самых молодых регионов Российской Федерации. От основной ее части он отделен территориями нескольких государств. Область находится в окружении стран-членов Европейского Союза, в некоторых случаях географически западнее, чем отдельные его регионы. Такое положение не только создает для жителей Калининградской области определенные сложности, связанные с необходимостью постоянного пересечения границ и зависимостью от общего политического климата в отношениях между Россией и странами-членами ЕС, но и, несомненно, создает благоприятные условия для кооперации с партнерами из Европы. Здесь вопросы диалога с европейскими соседями приобретают особую значимость, развитие практического сотрудничества и мобильности становится естественной необходимостью. Благодаря этому Калининградская область может выступать в качестве пилотного региона – пространства эксперимента, где вырабатываются и апробируются механизмы выстраивания партнерских отношений с коллегами из Европы. </w:t>
      </w:r>
    </w:p>
    <w:p w:rsidR="00A85589" w:rsidRPr="00116D57" w:rsidRDefault="00A85589" w:rsidP="00A85589">
      <w:pPr>
        <w:spacing w:after="0"/>
      </w:pPr>
      <w:proofErr w:type="gramStart"/>
      <w:r w:rsidRPr="00116D57">
        <w:t>В данном контексте при разработке дорожной карты культурного сотрудничества России и ЕС в качестве источника идей относительно принципов и механизмов построения такого сотрудничества может быть интересен опыт Агентства поддержки культурных инициатив «Транзит»</w:t>
      </w:r>
      <w:r w:rsidRPr="00116D57">
        <w:rPr>
          <w:rStyle w:val="a4"/>
        </w:rPr>
        <w:footnoteReference w:id="2"/>
      </w:r>
      <w:r w:rsidRPr="00116D57">
        <w:t xml:space="preserve"> и Европейского культурного фонда</w:t>
      </w:r>
      <w:r w:rsidRPr="00116D57">
        <w:rPr>
          <w:rStyle w:val="a4"/>
        </w:rPr>
        <w:footnoteReference w:id="3"/>
      </w:r>
      <w:r w:rsidRPr="00116D57">
        <w:t>, реализующих в Калининградской области с 2006 года долгосрочную программу</w:t>
      </w:r>
      <w:r w:rsidRPr="00116D57">
        <w:rPr>
          <w:rStyle w:val="a4"/>
        </w:rPr>
        <w:footnoteReference w:id="4"/>
      </w:r>
      <w:r w:rsidRPr="00116D57">
        <w:t xml:space="preserve"> развития потенциала учреждений культуры </w:t>
      </w:r>
      <w:r>
        <w:t xml:space="preserve">в </w:t>
      </w:r>
      <w:r w:rsidRPr="00116D57">
        <w:t>регион</w:t>
      </w:r>
      <w:r>
        <w:t>е</w:t>
      </w:r>
      <w:r w:rsidRPr="00116D57">
        <w:t>.</w:t>
      </w:r>
      <w:proofErr w:type="gramEnd"/>
      <w:r w:rsidRPr="00116D57">
        <w:t xml:space="preserve"> Этот опыт интересен с точки зрения того, какие  принципы взаимодействия с нашим европейским партнером помогают реализовывать проекты наиболее эффективно; что обеспечивает успех проекта на местном уровне и как можно консолидировать местное профессиональное сообщество; каковы перспективы дальнейшего развития и применения результатов проекта в других регионах и т.д.</w:t>
      </w:r>
    </w:p>
    <w:p w:rsidR="00A85589" w:rsidRPr="00116D57" w:rsidRDefault="00A85589" w:rsidP="00A85589">
      <w:pPr>
        <w:spacing w:after="0"/>
      </w:pPr>
      <w:r w:rsidRPr="00116D57">
        <w:t xml:space="preserve">В силу поставленных редакторами настоящего сборника задач мы попытаемся проследить, как реализуемая в Калининградской области программа профессиональной </w:t>
      </w:r>
      <w:r w:rsidRPr="00116D57">
        <w:lastRenderedPageBreak/>
        <w:t>подготовки менеджеров содействовала повышению мобильности деятелей искусства и культуры и активизации культурного сотрудничества в регионе.</w:t>
      </w:r>
    </w:p>
    <w:p w:rsidR="00A85589" w:rsidRPr="00116D57" w:rsidRDefault="00A85589" w:rsidP="00A85589">
      <w:pPr>
        <w:spacing w:after="0"/>
      </w:pPr>
      <w:r w:rsidRPr="00116D57">
        <w:t xml:space="preserve">Обозначенная программа фактически состояла из двух этапов: долгосрочной образовательной программы для наиболее активных менеджеров культуры области и  последующих </w:t>
      </w:r>
      <w:proofErr w:type="gramStart"/>
      <w:r w:rsidRPr="00116D57">
        <w:t>визитов</w:t>
      </w:r>
      <w:proofErr w:type="gramEnd"/>
      <w:r w:rsidRPr="00116D57">
        <w:t xml:space="preserve"> прошедших обучение специалистов в потенциальные партнерские организации в Европе. </w:t>
      </w:r>
    </w:p>
    <w:p w:rsidR="00A85589" w:rsidRPr="00116D57" w:rsidRDefault="00A85589" w:rsidP="00A85589">
      <w:r w:rsidRPr="00116D57">
        <w:t xml:space="preserve">На первом этапе в 2006 году к участию в проекте на конкурсной основе были приглашены 25 наиболее активных руководителей и сотрудников организаций культуры Калининградской области – федеральных, региональных и муниципальных бюджетных учреждений негосударственных некоммерческих организаций и даже некоторых специфических организаций ведомственного подчинения. В течение двух лет они регулярно встречались в рамках дискуссий, посвященных приоритетам развития сферы культуры региона, и образовательных семинаров по вопросам культурного менеджмента, проводившихся при поддержке ведущих российских и европейских экспертов по данным вопросам. Образовательная программа охватывала широчайший спектр вопросов – от анализа существующих моделей культурной политики и общих вопросов развития территорий за счет ресурсов культуры, стратегического менеджмента до таких вопросов оперативного управления организациями культуры, как маркетинг, </w:t>
      </w:r>
      <w:r w:rsidRPr="00116D57">
        <w:rPr>
          <w:lang w:val="en-US"/>
        </w:rPr>
        <w:t>PR</w:t>
      </w:r>
      <w:r w:rsidRPr="00116D57">
        <w:t xml:space="preserve">, развитие аудиторий и т.д. Обязательной частью программы стала разработка стратегических планов развития своих организаций каждым из 25 участников. </w:t>
      </w:r>
    </w:p>
    <w:p w:rsidR="00A85589" w:rsidRPr="00116D57" w:rsidRDefault="00A85589" w:rsidP="00A85589">
      <w:r w:rsidRPr="00116D57">
        <w:t>Образовательные семинары стали своего рода лабораторией, неформальным профессиональным клубом, где совместно с коллегами можно обсуждать и решать проблемы развития своих организаций, тестировать идеи и т.д. Регулярные встречи и совместное развитие способствовали консолидации местного профессионального сообщества,  согласованию приоритетов культурного развития на региональном уровне, укреплению профессиональной идентичности менеджеров культуры и институций, освоению ими «управленческого языка» потенциальных европейских партнеров, формулированию целей своей деятельности в долгосрочной перспективе и соответствующих ожиданий от сотрудничества. Участники смогли не только изучить различные подходы к менеджменту в области культуры, но и произвести реалистичную оценку ситуации в сфере культуры в регионе, осознать преимущества и недостатки своих институций, сформулировать стратегические цели развития, нащупать потенциальные точки роста. Сегодня всё это позволяет им делать осознанный выбор в пользу мобильности, четко осознавать как собственные потребности в области сотрудничества, так  и ожидания партнеров, эффективно организовывать коммуникацию и выстраивать межрегиональное и международное культурное сотрудничество (рис.1).</w:t>
      </w:r>
    </w:p>
    <w:p w:rsidR="00A85589" w:rsidRPr="00116D57" w:rsidRDefault="00A85589" w:rsidP="00A8558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17565" cy="2769235"/>
            <wp:effectExtent l="19050" t="0" r="6985" b="0"/>
            <wp:docPr id="1" name="Рисунок 1" descr="stage 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ge 1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276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589" w:rsidRPr="00116D57" w:rsidRDefault="00A85589" w:rsidP="00A85589">
      <w:pPr>
        <w:pStyle w:val="Default"/>
        <w:jc w:val="both"/>
        <w:rPr>
          <w:rFonts w:ascii="Times New Roman" w:hAnsi="Times New Roman" w:cs="Times New Roman"/>
        </w:rPr>
      </w:pPr>
    </w:p>
    <w:p w:rsidR="00A85589" w:rsidRPr="00116D57" w:rsidRDefault="00A85589" w:rsidP="00A85589">
      <w:pPr>
        <w:rPr>
          <w:b/>
        </w:rPr>
      </w:pPr>
      <w:r w:rsidRPr="00116D57">
        <w:rPr>
          <w:b/>
        </w:rPr>
        <w:t>Рис. 1. Содействие образовательной программы для менеджеров культуры Калининградской области развитию мобильности</w:t>
      </w:r>
    </w:p>
    <w:p w:rsidR="00A85589" w:rsidRPr="00116D57" w:rsidRDefault="00A85589" w:rsidP="00A85589">
      <w:r w:rsidRPr="00116D57">
        <w:t xml:space="preserve">На второй стадии параграммы организаторы стремились помочь наиболее активным калининградским институциям, руководители которых прошли обучение на предыдущем этапе, установить контакты с ведущими организациями культуры региона Балтийского моря. Для этого и были задуманы «экспедиции» калининградских участников в Европу. </w:t>
      </w:r>
      <w:proofErr w:type="gramStart"/>
      <w:r w:rsidRPr="00116D57">
        <w:t>Так, в 2008 году в рамках трех поездок группа из 25 человек посетила более 200 потенциальных организаций-партнеров в 13 европейских городах, включая Берлин, Варшаву, Вильнюс, Гамбург, Гданьск, Киль, Клайпеду, Копенгаген, Любек, Ригу, Стокгольм, Таллинн и Хельсинки.</w:t>
      </w:r>
      <w:proofErr w:type="gramEnd"/>
      <w:r w:rsidRPr="00116D57">
        <w:t xml:space="preserve"> Прибывая в эти города, группа делилась на четыре команды, каждая их которых знакомилась с местными организациями по своей собственной программе  в соответствии со сферой своих интересов (например, исторические музеи, морские музеи, центры современного искусства, художественные галереи и музеи декоративного искусства). Это давало участникам процесса возможность на месте ознакомиться со спецификой деятельности каждой конкретной институции, условиями в которых она работает, приоритетами ее деятельности и потенциальными интересами относительно калининградских организаций (рис. 2)</w:t>
      </w:r>
      <w:r>
        <w:t>.</w:t>
      </w:r>
    </w:p>
    <w:p w:rsidR="00A85589" w:rsidRPr="00116D57" w:rsidRDefault="00A85589" w:rsidP="00A85589">
      <w:r w:rsidRPr="00116D57">
        <w:t>Затем в июне 2009 года в рамках проекта в Калининграде высадился десант из более 70 представителей организаций искусства и культуры из Германии, Латвии, Литвы, Польши, Финляндии, Швеции и Эстонии. Благодаря предшествующим визитам в Европу участники проекта – а именно им и было предложено сформировать список гостей – приглашали европейских представителей в Калининград не наобум, а осознанно, т.е. понимая, с кем из них наиболее целесообразно развивать сотрудничество. За три дня пребывания в регионе европейцы посетили практически все калининградские музеи, а также музей Г. Брахерта (Отрадное), Музей Балтийского флота (Балтийск) и замок Инстербург (Черняховск). Это были не просто экскурсии, а рабочие встречи, нацеленные на выявление общих интересов. В конце своего визита многие уже делились возникшими идеями  сотрудничества  и совместными творческими планами на будущее.</w:t>
      </w:r>
    </w:p>
    <w:p w:rsidR="00A85589" w:rsidRPr="00116D57" w:rsidRDefault="00A85589" w:rsidP="00A85589">
      <w:pPr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4831080" cy="3424555"/>
            <wp:effectExtent l="19050" t="0" r="7620" b="0"/>
            <wp:docPr id="2" name="Рисунок 2" descr="st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342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589" w:rsidRPr="00116D57" w:rsidRDefault="00A85589" w:rsidP="00A85589">
      <w:pPr>
        <w:rPr>
          <w:b/>
        </w:rPr>
      </w:pPr>
      <w:r w:rsidRPr="00116D57">
        <w:rPr>
          <w:b/>
        </w:rPr>
        <w:t xml:space="preserve">Рис. 2. Содействие </w:t>
      </w:r>
      <w:proofErr w:type="gramStart"/>
      <w:r w:rsidRPr="00116D57">
        <w:rPr>
          <w:b/>
        </w:rPr>
        <w:t>программы наращивания потенциала учреждений культуры Калининградской области</w:t>
      </w:r>
      <w:proofErr w:type="gramEnd"/>
      <w:r w:rsidRPr="00116D57">
        <w:rPr>
          <w:b/>
        </w:rPr>
        <w:t xml:space="preserve"> повышению мобильности и активизации сотрудничества между организациями Калининградской области и их европейским партнерами</w:t>
      </w:r>
    </w:p>
    <w:p w:rsidR="00A85589" w:rsidRPr="00116D57" w:rsidRDefault="00A85589" w:rsidP="00A85589">
      <w:r w:rsidRPr="00116D57">
        <w:t xml:space="preserve">Уже сегодня можно видеть, как прошедшие взаимные визиты тянут за собой новые проекты и инициативы. Достаточно отследить пример хотя бы одной организации, например, Калининградского филиала Государственного центра современного искусства. </w:t>
      </w:r>
    </w:p>
    <w:p w:rsidR="00A85589" w:rsidRPr="00116D57" w:rsidRDefault="00A85589" w:rsidP="00A85589">
      <w:r w:rsidRPr="00116D57">
        <w:t xml:space="preserve">Так, после посещения сотрудниками КФ ГЦСИ потенциальных партнеров в Дании они были приглашены в Копенгаген повторно для участия в работе Лаборатории «Думающий метрополис </w:t>
      </w:r>
      <w:r w:rsidRPr="00116D57">
        <w:rPr>
          <w:lang w:val="en-US"/>
        </w:rPr>
        <w:t>IV</w:t>
      </w:r>
      <w:r w:rsidRPr="00116D57">
        <w:t xml:space="preserve">: творческие процессы в городском пространстве», проведенной в июне 2008 года Копенгагенским международным театром. Представив на форуме свой опыт работы с идентичностью города, участники из Калининграда смогли познакомиться с большим кругом профессионалов, работающих в сфере архитектуры, градостроительства, визуальных искусств и т.д. Некоторые знакомства уже переросли в разряд рабочих отношений и реальных проектов. </w:t>
      </w:r>
      <w:proofErr w:type="gramStart"/>
      <w:r w:rsidRPr="00116D57">
        <w:t>Например, с одним из участников лаборатории – перформером и художником иранского происхождения Шарамом Ентекхаби, живущем и работающем в Берлине, в 2009 году в Калининграде был реализован художественный проект-перформанс «72 девы», итоговая документация которого впоследствии была представлена в Москве в Государственном музее-заповеднике «Царицыно» в рамках выставки «Топография счастья: русская свадьба» (июль 2009 года).</w:t>
      </w:r>
      <w:proofErr w:type="gramEnd"/>
    </w:p>
    <w:p w:rsidR="00A85589" w:rsidRPr="00116D57" w:rsidRDefault="00A85589" w:rsidP="00A85589">
      <w:r w:rsidRPr="00116D57">
        <w:t xml:space="preserve">Во многом благодаря визиту в Северный культурный фонд и подробному знакомству с его программами и приоритетами КФ ГЦСИ подал заявку на проведение художественного проекта </w:t>
      </w:r>
      <w:r w:rsidRPr="00116D57">
        <w:rPr>
          <w:lang w:val="en-US"/>
        </w:rPr>
        <w:t>Kaliningrad</w:t>
      </w:r>
      <w:r w:rsidRPr="00116D57">
        <w:t xml:space="preserve"> </w:t>
      </w:r>
      <w:r w:rsidRPr="00116D57">
        <w:rPr>
          <w:lang w:val="en-US"/>
        </w:rPr>
        <w:t>Sound</w:t>
      </w:r>
      <w:r w:rsidRPr="00116D57">
        <w:t xml:space="preserve"> </w:t>
      </w:r>
      <w:r w:rsidRPr="00116D57">
        <w:rPr>
          <w:lang w:val="en-US"/>
        </w:rPr>
        <w:t>Art</w:t>
      </w:r>
      <w:r w:rsidRPr="00116D57">
        <w:t xml:space="preserve"> </w:t>
      </w:r>
      <w:proofErr w:type="gramStart"/>
      <w:r w:rsidRPr="00116D57">
        <w:t>С</w:t>
      </w:r>
      <w:proofErr w:type="gramEnd"/>
      <w:r w:rsidRPr="00116D57">
        <w:rPr>
          <w:lang w:val="en-US"/>
        </w:rPr>
        <w:t>amp</w:t>
      </w:r>
      <w:r w:rsidRPr="00116D57">
        <w:t xml:space="preserve">, в результате чего при поддержке этого фонда, а также постоянного партнера КФ ГЦСИ Фонда Форда летом 2009 года в Калининградской области на неделю собрались 14 художников из Латвии, Литвы, Польши, Норвегии, Дании, </w:t>
      </w:r>
      <w:proofErr w:type="gramStart"/>
      <w:r w:rsidRPr="00116D57">
        <w:t>Исландии, Швеции и Калининградской области, работающих в достаточно разных контекстах, но объединенных общим интересом к звуку как средству самовыражения.</w:t>
      </w:r>
      <w:proofErr w:type="gramEnd"/>
      <w:r w:rsidRPr="00116D57">
        <w:t xml:space="preserve"> Это была неделя постоянного общения, презентаций, мастер-классов, дискуссий и совместных экспериментов, результаты которых в виде инсталляций, </w:t>
      </w:r>
      <w:r w:rsidRPr="00116D57">
        <w:lastRenderedPageBreak/>
        <w:t xml:space="preserve">объектов и перформансов были представлены зрителям 26 июля 2009 года в замке Инстербург (Черняховск, Калининградская область).  </w:t>
      </w:r>
    </w:p>
    <w:p w:rsidR="00A85589" w:rsidRPr="00116D57" w:rsidRDefault="00A85589" w:rsidP="00A85589">
      <w:r w:rsidRPr="00116D57">
        <w:t xml:space="preserve">Через берлинскую галерею </w:t>
      </w:r>
      <w:r w:rsidRPr="00116D57">
        <w:rPr>
          <w:lang w:val="en-US"/>
        </w:rPr>
        <w:t>Uqbar</w:t>
      </w:r>
      <w:r w:rsidRPr="00116D57">
        <w:t xml:space="preserve">, знакомство с кураторами которой опять же состоялось в рамках проекта, завязалось сотрудничество с художницей из Германии Романой Смалиш. В январе 2009 года в рамках образовательной программы КФ ГЦСИ она представила калининградской аудитории свой художественный проект «Мобильный кинотеатр», и в этом же году снова вернулась в Калининград для съемок видео о легенде советской океанографии – судне «Витязь», являющемся одним из главных экспонатов Музея Мирового океана. В настоящее время на основе материалов, собранных во время своих визитов в Калининград, художница готовит еще одну работу, посвященную судьбе сельских домов культуры. </w:t>
      </w:r>
    </w:p>
    <w:p w:rsidR="00A85589" w:rsidRPr="00116D57" w:rsidRDefault="00A85589" w:rsidP="00A85589">
      <w:r w:rsidRPr="00116D57">
        <w:t xml:space="preserve">Еще три проекта, инициированные в результате посещения потенциальных европейских партнеров, – «Конверсия» совместно с Центром современного искусства Фарфабрикен (Стокгольм, Швеция), «Калининград и его жители» совместно с художницей Гудрун Вассерман (Германия), «Скульптура и палимпсест» совместно с Эстонской академией художеств – находятся на стадии концептуализации и обсуждения. Кроме того, благодаря приобретенным в рамках проекта контактам в 2009 году для презентации своей деятельности и  обсуждения перспектив сотрудничества КФ ГЦСИ посетили 5 кураторов и художников из Бельгии, Польши, Германии и Литвы (это помимо тех, кто получил такую возможность в рамках официальной программы визитов). </w:t>
      </w:r>
    </w:p>
    <w:p w:rsidR="00A85589" w:rsidRDefault="00A85589" w:rsidP="00A85589">
      <w:pPr>
        <w:spacing w:before="288" w:after="288"/>
      </w:pPr>
      <w:r w:rsidRPr="00116D57">
        <w:t>На примере всего лишь одной организации видно, как благодаря описанным выше процессам активизируются контакты и сотрудничество, растет мобильность профессионалов и художественных продуктов. Насколько устойчивым и плодотворным окажется развивающееся сотрудничество покажет время. Однако уже сейчас можно предположить, что подготовленность местного профессионального сообщества к сотрудничеству (т.е. четкое понимание целей своей деятельности, знание управленческой культуры потенциальных партнеров, их ситуации и ожиданий)  является одним из залогов успеха; и, соответственно, программы подготовки менеджеров культуры могут играть значимую роль в повышении мобильности деятелей искусства и культуры.</w:t>
      </w:r>
    </w:p>
    <w:p w:rsidR="00B7748F" w:rsidRDefault="00B7748F" w:rsidP="004F0260">
      <w:pPr>
        <w:spacing w:before="288" w:after="288"/>
      </w:pPr>
    </w:p>
    <w:sectPr w:rsidR="00B7748F" w:rsidSect="00B7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589" w:rsidRDefault="00A85589" w:rsidP="00A85589">
      <w:pPr>
        <w:spacing w:before="0" w:after="0"/>
      </w:pPr>
      <w:r>
        <w:separator/>
      </w:r>
    </w:p>
  </w:endnote>
  <w:endnote w:type="continuationSeparator" w:id="1">
    <w:p w:rsidR="00A85589" w:rsidRDefault="00A85589" w:rsidP="00A8558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589" w:rsidRDefault="00A85589" w:rsidP="00A85589">
      <w:pPr>
        <w:spacing w:before="0" w:after="0"/>
      </w:pPr>
      <w:r>
        <w:separator/>
      </w:r>
    </w:p>
  </w:footnote>
  <w:footnote w:type="continuationSeparator" w:id="1">
    <w:p w:rsidR="00A85589" w:rsidRDefault="00A85589" w:rsidP="00A85589">
      <w:pPr>
        <w:spacing w:before="0" w:after="0"/>
      </w:pPr>
      <w:r>
        <w:continuationSeparator/>
      </w:r>
    </w:p>
  </w:footnote>
  <w:footnote w:id="2">
    <w:p w:rsidR="00A85589" w:rsidRPr="005C7818" w:rsidRDefault="00A85589" w:rsidP="00A85589">
      <w:pPr>
        <w:pStyle w:val="a5"/>
        <w:rPr>
          <w:rFonts w:ascii="Times New Roman" w:hAnsi="Times New Roman"/>
          <w:lang w:val="ru-RU"/>
        </w:rPr>
      </w:pPr>
      <w:r w:rsidRPr="00425B52">
        <w:rPr>
          <w:rStyle w:val="a4"/>
        </w:rPr>
        <w:footnoteRef/>
      </w:r>
      <w:r w:rsidRPr="005C7818">
        <w:rPr>
          <w:lang w:val="ru-RU"/>
        </w:rPr>
        <w:t xml:space="preserve"> </w:t>
      </w:r>
      <w:r w:rsidRPr="005C7818">
        <w:rPr>
          <w:rFonts w:ascii="Times New Roman" w:hAnsi="Times New Roman"/>
          <w:lang w:val="ru-RU"/>
        </w:rPr>
        <w:t xml:space="preserve">Подробная информация о деятельности АПКИ «Транзит» размещена на  </w:t>
      </w:r>
      <w:r w:rsidRPr="005C7818">
        <w:rPr>
          <w:rFonts w:ascii="Times New Roman" w:hAnsi="Times New Roman"/>
          <w:lang w:val="en-US"/>
        </w:rPr>
        <w:t>www</w:t>
      </w:r>
      <w:r w:rsidRPr="005C7818">
        <w:rPr>
          <w:rFonts w:ascii="Times New Roman" w:hAnsi="Times New Roman"/>
          <w:lang w:val="ru-RU"/>
        </w:rPr>
        <w:t>.</w:t>
      </w:r>
      <w:r w:rsidRPr="005C7818">
        <w:rPr>
          <w:rFonts w:ascii="Times New Roman" w:hAnsi="Times New Roman"/>
          <w:lang w:val="en-US"/>
        </w:rPr>
        <w:t>tranzit</w:t>
      </w:r>
      <w:r w:rsidRPr="005C7818">
        <w:rPr>
          <w:rFonts w:ascii="Times New Roman" w:hAnsi="Times New Roman"/>
          <w:lang w:val="ru-RU"/>
        </w:rPr>
        <w:t>-</w:t>
      </w:r>
      <w:r w:rsidRPr="005C7818">
        <w:rPr>
          <w:rFonts w:ascii="Times New Roman" w:hAnsi="Times New Roman"/>
          <w:lang w:val="en-US"/>
        </w:rPr>
        <w:t>kaliningrad</w:t>
      </w:r>
      <w:r w:rsidRPr="005C7818">
        <w:rPr>
          <w:rFonts w:ascii="Times New Roman" w:hAnsi="Times New Roman"/>
          <w:lang w:val="ru-RU"/>
        </w:rPr>
        <w:t>.</w:t>
      </w:r>
      <w:r w:rsidRPr="005C7818">
        <w:rPr>
          <w:rFonts w:ascii="Times New Roman" w:hAnsi="Times New Roman"/>
          <w:lang w:val="en-US"/>
        </w:rPr>
        <w:t>ru</w:t>
      </w:r>
      <w:r w:rsidRPr="005C7818">
        <w:rPr>
          <w:rFonts w:ascii="Times New Roman" w:hAnsi="Times New Roman"/>
          <w:lang w:val="ru-RU"/>
        </w:rPr>
        <w:t>.</w:t>
      </w:r>
    </w:p>
  </w:footnote>
  <w:footnote w:id="3">
    <w:p w:rsidR="00A85589" w:rsidRPr="005C7818" w:rsidRDefault="00A85589" w:rsidP="00A85589">
      <w:pPr>
        <w:pStyle w:val="a5"/>
        <w:rPr>
          <w:rFonts w:ascii="Times New Roman" w:hAnsi="Times New Roman"/>
          <w:iCs/>
          <w:lang w:val="ru-RU"/>
        </w:rPr>
      </w:pPr>
      <w:r w:rsidRPr="00116D57">
        <w:rPr>
          <w:rStyle w:val="a4"/>
          <w:rFonts w:ascii="Times New Roman" w:hAnsi="Times New Roman"/>
        </w:rPr>
        <w:footnoteRef/>
      </w:r>
      <w:r w:rsidRPr="005C7818">
        <w:rPr>
          <w:rFonts w:ascii="Times New Roman" w:hAnsi="Times New Roman"/>
          <w:lang w:val="ru-RU"/>
        </w:rPr>
        <w:t xml:space="preserve"> Подробная информация о деятельности Европейского культурного фонда размещена </w:t>
      </w:r>
      <w:r w:rsidRPr="005C7818">
        <w:rPr>
          <w:rFonts w:ascii="Times New Roman" w:hAnsi="Times New Roman"/>
          <w:iCs/>
          <w:lang w:val="ru-RU"/>
        </w:rPr>
        <w:t xml:space="preserve">на </w:t>
      </w:r>
      <w:hyperlink r:id="rId1" w:history="1">
        <w:r w:rsidRPr="005C7818">
          <w:rPr>
            <w:rFonts w:ascii="Times New Roman" w:hAnsi="Times New Roman"/>
            <w:iCs/>
            <w:lang w:val="ru-RU"/>
          </w:rPr>
          <w:t>www.eurocult.org</w:t>
        </w:r>
      </w:hyperlink>
      <w:r w:rsidRPr="005C7818">
        <w:rPr>
          <w:rFonts w:ascii="Times New Roman" w:hAnsi="Times New Roman"/>
          <w:iCs/>
          <w:lang w:val="ru-RU"/>
        </w:rPr>
        <w:t>.</w:t>
      </w:r>
    </w:p>
  </w:footnote>
  <w:footnote w:id="4">
    <w:p w:rsidR="00A85589" w:rsidRPr="005C7818" w:rsidRDefault="00A85589" w:rsidP="00A85589">
      <w:pPr>
        <w:pStyle w:val="a5"/>
        <w:jc w:val="both"/>
        <w:rPr>
          <w:rFonts w:ascii="Times New Roman" w:hAnsi="Times New Roman"/>
          <w:lang w:val="ru-RU"/>
        </w:rPr>
      </w:pPr>
      <w:r w:rsidRPr="005C7818">
        <w:rPr>
          <w:rStyle w:val="a4"/>
          <w:rFonts w:ascii="Times New Roman" w:hAnsi="Times New Roman"/>
        </w:rPr>
        <w:footnoteRef/>
      </w:r>
      <w:r w:rsidRPr="005C7818">
        <w:rPr>
          <w:rFonts w:ascii="Times New Roman" w:hAnsi="Times New Roman"/>
          <w:lang w:val="ru-RU"/>
        </w:rPr>
        <w:t xml:space="preserve"> </w:t>
      </w:r>
      <w:proofErr w:type="gramStart"/>
      <w:r w:rsidRPr="005C7818">
        <w:rPr>
          <w:rFonts w:ascii="Times New Roman" w:hAnsi="Times New Roman"/>
          <w:iCs/>
          <w:lang w:val="ru-RU"/>
        </w:rPr>
        <w:t xml:space="preserve">Фактически речь идет о  двух проектах </w:t>
      </w:r>
      <w:r w:rsidRPr="005C7818">
        <w:rPr>
          <w:rFonts w:ascii="Times New Roman" w:hAnsi="Times New Roman"/>
          <w:sz w:val="24"/>
          <w:szCs w:val="24"/>
          <w:lang w:val="ru-RU"/>
        </w:rPr>
        <w:t>–</w:t>
      </w:r>
      <w:r w:rsidRPr="005C7818">
        <w:rPr>
          <w:rFonts w:ascii="Times New Roman" w:hAnsi="Times New Roman"/>
          <w:iCs/>
          <w:lang w:val="ru-RU"/>
        </w:rPr>
        <w:t xml:space="preserve"> «Развитие профессиональных навыков в области инновационного культурного менеджмента в целях углубления культурного сотрудничества между Калининградской областью и странами региона Балтийского моря» (2008-2009) </w:t>
      </w:r>
      <w:r w:rsidRPr="005C7818">
        <w:rPr>
          <w:rFonts w:ascii="Times New Roman" w:hAnsi="Times New Roman"/>
          <w:lang w:val="ru-RU"/>
        </w:rPr>
        <w:t xml:space="preserve">и </w:t>
      </w:r>
      <w:r w:rsidRPr="005C7818">
        <w:rPr>
          <w:rFonts w:ascii="Times New Roman" w:hAnsi="Times New Roman"/>
          <w:iCs/>
          <w:lang w:val="ru-RU"/>
        </w:rPr>
        <w:t>«Инновационные стратегии местного развития: наращивание потенциала учреждений культуры Калининградской области» (2006-2007), реализованных Калининградской региональной общественной организацией Агентство поддержки культурных инициатив «Транзит» и Европейским культурным фондом совместно с Министерством культуры Калининградской области</w:t>
      </w:r>
      <w:proofErr w:type="gramEnd"/>
      <w:r w:rsidRPr="005C7818">
        <w:rPr>
          <w:rFonts w:ascii="Times New Roman" w:hAnsi="Times New Roman"/>
          <w:iCs/>
          <w:lang w:val="ru-RU"/>
        </w:rPr>
        <w:t xml:space="preserve">, Ассоциацией менеджеров культуры при поддержке ЕС (программа </w:t>
      </w:r>
      <w:r w:rsidRPr="00116D57">
        <w:rPr>
          <w:rFonts w:ascii="Times New Roman" w:hAnsi="Times New Roman"/>
          <w:iCs/>
          <w:lang w:val="en-US"/>
        </w:rPr>
        <w:t>IBPP</w:t>
      </w:r>
      <w:r w:rsidRPr="005C7818">
        <w:rPr>
          <w:rFonts w:ascii="Times New Roman" w:hAnsi="Times New Roman"/>
          <w:iCs/>
          <w:lang w:val="ru-RU"/>
        </w:rPr>
        <w:t xml:space="preserve">- Культура) и Совета министров Северных стран. </w:t>
      </w:r>
    </w:p>
    <w:p w:rsidR="00A85589" w:rsidRPr="005C7818" w:rsidRDefault="00A85589" w:rsidP="00A85589">
      <w:pPr>
        <w:pStyle w:val="a5"/>
        <w:rPr>
          <w:lang w:val="ru-RU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revisionView w:inkAnnotations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589"/>
    <w:rsid w:val="004F0260"/>
    <w:rsid w:val="00A85589"/>
    <w:rsid w:val="00B7748F"/>
    <w:rsid w:val="00DA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120" w:afterLines="120" w:line="360" w:lineRule="auto"/>
        <w:ind w:left="107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89"/>
    <w:pPr>
      <w:spacing w:beforeLines="0" w:afterLines="0" w:line="240" w:lineRule="auto"/>
      <w:ind w:left="0" w:firstLine="708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5589"/>
    <w:pPr>
      <w:keepNext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5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A85589"/>
    <w:rPr>
      <w:b/>
      <w:iCs/>
      <w:sz w:val="28"/>
      <w:szCs w:val="28"/>
    </w:rPr>
  </w:style>
  <w:style w:type="character" w:styleId="a4">
    <w:name w:val="footnote reference"/>
    <w:basedOn w:val="a0"/>
    <w:uiPriority w:val="99"/>
    <w:semiHidden/>
    <w:unhideWhenUsed/>
    <w:rsid w:val="00A85589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A85589"/>
    <w:pPr>
      <w:spacing w:before="0" w:after="0"/>
      <w:ind w:firstLine="0"/>
      <w:jc w:val="left"/>
    </w:pPr>
    <w:rPr>
      <w:rFonts w:ascii="Calibri" w:hAnsi="Calibri"/>
      <w:sz w:val="20"/>
      <w:szCs w:val="20"/>
      <w:lang w:val="en-GB"/>
    </w:rPr>
  </w:style>
  <w:style w:type="character" w:customStyle="1" w:styleId="a6">
    <w:name w:val="Текст сноски Знак"/>
    <w:basedOn w:val="a0"/>
    <w:link w:val="a5"/>
    <w:uiPriority w:val="99"/>
    <w:semiHidden/>
    <w:rsid w:val="00A85589"/>
    <w:rPr>
      <w:rFonts w:ascii="Calibri" w:eastAsia="Calibri" w:hAnsi="Calibri" w:cs="Times New Roman"/>
      <w:sz w:val="20"/>
      <w:szCs w:val="20"/>
      <w:lang w:val="en-GB"/>
    </w:rPr>
  </w:style>
  <w:style w:type="paragraph" w:customStyle="1" w:styleId="Default">
    <w:name w:val="Default"/>
    <w:rsid w:val="00A85589"/>
    <w:pPr>
      <w:autoSpaceDE w:val="0"/>
      <w:autoSpaceDN w:val="0"/>
      <w:adjustRightInd w:val="0"/>
      <w:spacing w:beforeLines="0" w:afterLines="0" w:line="240" w:lineRule="auto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55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55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cult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1748</Words>
  <Characters>9966</Characters>
  <Application>Microsoft Office Word</Application>
  <DocSecurity>0</DocSecurity>
  <Lines>83</Lines>
  <Paragraphs>23</Paragraphs>
  <ScaleCrop>false</ScaleCrop>
  <Company/>
  <LinksUpToDate>false</LinksUpToDate>
  <CharactersWithSpaces>11691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2010-04-08T06:55:00Z</dcterms:created>
  <dcterms:modified xsi:type="dcterms:W3CDTF">2010-04-08T06:55:00Z</dcterms:modified>
</cp:coreProperties>
</file>