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6E" w:rsidRPr="004351E5" w:rsidRDefault="00283B6E" w:rsidP="00283B6E">
      <w:pPr>
        <w:pStyle w:val="1"/>
        <w:spacing w:before="288" w:after="288"/>
        <w:rPr>
          <w:rFonts w:eastAsia="ArialNarrow"/>
          <w:lang w:val="en-US"/>
        </w:rPr>
      </w:pPr>
      <w:r w:rsidRPr="00B65944">
        <w:rPr>
          <w:lang w:val="en-US"/>
        </w:rPr>
        <w:t>The Stakes of Mobility for the European Union</w:t>
      </w:r>
    </w:p>
    <w:p w:rsidR="00283B6E" w:rsidRPr="00283B6E" w:rsidRDefault="00283B6E" w:rsidP="00283B6E">
      <w:pPr>
        <w:ind w:firstLine="0"/>
        <w:rPr>
          <w:rStyle w:val="a5"/>
          <w:lang w:val="en-US"/>
        </w:rPr>
      </w:pPr>
      <w:r w:rsidRPr="00283B6E">
        <w:rPr>
          <w:rStyle w:val="a5"/>
          <w:lang w:val="en-US"/>
        </w:rPr>
        <w:t>Pascal Brunet</w:t>
      </w:r>
    </w:p>
    <w:p w:rsidR="00283B6E" w:rsidRPr="00283B6E" w:rsidRDefault="00283B6E" w:rsidP="00283B6E">
      <w:pPr>
        <w:ind w:firstLine="0"/>
        <w:rPr>
          <w:rFonts w:ascii="Calibri" w:hAnsi="Calibri"/>
          <w:sz w:val="26"/>
          <w:szCs w:val="26"/>
          <w:lang w:val="en-US"/>
        </w:rPr>
      </w:pPr>
      <w:r w:rsidRPr="00283B6E">
        <w:rPr>
          <w:rFonts w:ascii="Calibri" w:hAnsi="Calibri"/>
          <w:sz w:val="26"/>
          <w:szCs w:val="26"/>
          <w:lang w:val="en-US"/>
        </w:rPr>
        <w:t>Director, Relais Culture Europe (France)</w:t>
      </w:r>
    </w:p>
    <w:p w:rsidR="00283B6E" w:rsidRPr="00283B6E" w:rsidRDefault="00283B6E" w:rsidP="00283B6E">
      <w:pPr>
        <w:pStyle w:val="2"/>
        <w:rPr>
          <w:lang w:val="en-US"/>
        </w:rPr>
      </w:pPr>
      <w:r w:rsidRPr="00283B6E">
        <w:rPr>
          <w:lang w:val="en-US"/>
        </w:rPr>
        <w:t>Context</w:t>
      </w:r>
    </w:p>
    <w:p w:rsidR="00283B6E" w:rsidRPr="004351E5" w:rsidRDefault="00283B6E" w:rsidP="00283B6E">
      <w:pPr>
        <w:ind w:firstLine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Understanding the stakes of artistic and cultural mobility in Europe requires us to take into account three major attributes of the community’s current context: </w:t>
      </w:r>
    </w:p>
    <w:p w:rsidR="00283B6E" w:rsidRPr="004351E5" w:rsidRDefault="00283B6E" w:rsidP="00283B6E">
      <w:pPr>
        <w:numPr>
          <w:ilvl w:val="0"/>
          <w:numId w:val="2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The question of artistic and cultural mobility in Europe has to be understood within the framework of </w:t>
      </w:r>
      <w:r w:rsidRPr="004351E5">
        <w:rPr>
          <w:rFonts w:eastAsia="ArialNarrow"/>
          <w:b/>
          <w:bCs/>
          <w:lang w:val="en-US"/>
        </w:rPr>
        <w:t>globalization</w:t>
      </w:r>
      <w:r w:rsidRPr="004351E5">
        <w:rPr>
          <w:rFonts w:eastAsia="ArialNarrow"/>
          <w:lang w:val="en-US"/>
        </w:rPr>
        <w:t xml:space="preserve">, with economic, social and cultural stakes. </w:t>
      </w:r>
    </w:p>
    <w:p w:rsidR="00283B6E" w:rsidRPr="004351E5" w:rsidRDefault="00283B6E" w:rsidP="00283B6E">
      <w:pPr>
        <w:numPr>
          <w:ilvl w:val="0"/>
          <w:numId w:val="2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It must also take into account the </w:t>
      </w:r>
      <w:r w:rsidRPr="004351E5">
        <w:rPr>
          <w:rFonts w:eastAsia="ArialNarrow"/>
          <w:b/>
          <w:bCs/>
          <w:lang w:val="en-US"/>
        </w:rPr>
        <w:t>European continent</w:t>
      </w:r>
      <w:r w:rsidRPr="004351E5">
        <w:rPr>
          <w:rFonts w:eastAsia="ArialNarrow"/>
          <w:lang w:val="en-US"/>
        </w:rPr>
        <w:t xml:space="preserve">, defined by an expanding, shifting and diverse territory. </w:t>
      </w:r>
    </w:p>
    <w:p w:rsidR="00283B6E" w:rsidRPr="004351E5" w:rsidRDefault="00283B6E" w:rsidP="00283B6E">
      <w:pPr>
        <w:numPr>
          <w:ilvl w:val="0"/>
          <w:numId w:val="2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It should also encompass </w:t>
      </w:r>
      <w:r w:rsidRPr="004351E5">
        <w:rPr>
          <w:rFonts w:eastAsia="ArialNarrow"/>
          <w:b/>
          <w:bCs/>
          <w:lang w:val="en-US"/>
        </w:rPr>
        <w:t>new geopolitical stakes</w:t>
      </w:r>
      <w:r w:rsidRPr="004351E5">
        <w:rPr>
          <w:rFonts w:eastAsia="ArialNarrow"/>
          <w:lang w:val="en-US"/>
        </w:rPr>
        <w:t xml:space="preserve">: transnational co-operation and cohesion, and relations to other regional entities. </w:t>
      </w:r>
    </w:p>
    <w:p w:rsidR="00283B6E" w:rsidRPr="00283B6E" w:rsidRDefault="00283B6E" w:rsidP="00283B6E">
      <w:pPr>
        <w:pStyle w:val="2"/>
        <w:rPr>
          <w:lang w:val="en-US"/>
        </w:rPr>
      </w:pPr>
      <w:r w:rsidRPr="00283B6E">
        <w:rPr>
          <w:lang w:val="en-US"/>
        </w:rPr>
        <w:t>Stakes</w:t>
      </w:r>
    </w:p>
    <w:p w:rsidR="00283B6E" w:rsidRPr="004351E5" w:rsidRDefault="00283B6E" w:rsidP="00283B6E">
      <w:pPr>
        <w:ind w:firstLine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The stakes connecting artistic and cultural mobility in Europe have to be understood </w:t>
      </w:r>
      <w:r w:rsidRPr="004351E5">
        <w:rPr>
          <w:rFonts w:eastAsia="ArialNarrow"/>
          <w:b/>
          <w:bCs/>
          <w:lang w:val="en-US"/>
        </w:rPr>
        <w:t>within the current context of great European strategies</w:t>
      </w:r>
      <w:r w:rsidRPr="004351E5">
        <w:rPr>
          <w:rFonts w:eastAsia="ArialNarrow"/>
          <w:lang w:val="en-US"/>
        </w:rPr>
        <w:t xml:space="preserve">, as enunciated in Lisbon, Gothenburg and in the territorial agenda. Several </w:t>
      </w:r>
      <w:r w:rsidRPr="004351E5">
        <w:rPr>
          <w:rFonts w:eastAsia="ArialNarrow"/>
          <w:b/>
          <w:bCs/>
          <w:lang w:val="en-US"/>
        </w:rPr>
        <w:t xml:space="preserve">wide-reaching lines of inquiries </w:t>
      </w:r>
      <w:r w:rsidRPr="004351E5">
        <w:rPr>
          <w:rFonts w:eastAsia="ArialNarrow"/>
          <w:lang w:val="en-US"/>
        </w:rPr>
        <w:t xml:space="preserve">should be opened: </w:t>
      </w:r>
    </w:p>
    <w:p w:rsidR="00283B6E" w:rsidRPr="004351E5" w:rsidRDefault="00283B6E" w:rsidP="00283B6E">
      <w:pPr>
        <w:numPr>
          <w:ilvl w:val="0"/>
          <w:numId w:val="3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How are artistic mobility and </w:t>
      </w:r>
      <w:r w:rsidRPr="004351E5">
        <w:rPr>
          <w:rFonts w:eastAsia="ArialNarrow"/>
          <w:b/>
          <w:bCs/>
          <w:lang w:val="en-US"/>
        </w:rPr>
        <w:t xml:space="preserve">cultural economy </w:t>
      </w:r>
      <w:r w:rsidRPr="004351E5">
        <w:rPr>
          <w:rFonts w:eastAsia="ArialNarrow"/>
          <w:lang w:val="en-US"/>
        </w:rPr>
        <w:t xml:space="preserve">connected? How should one re-think that mobility with regards to the development of a European cultural market; of current mutations in the business models (evolution of the notions of marketability and of the producer/consumer relationship); and of the evolving notion of mobility itself in the numerical age? </w:t>
      </w:r>
    </w:p>
    <w:p w:rsidR="00283B6E" w:rsidRPr="004351E5" w:rsidRDefault="00283B6E" w:rsidP="00283B6E">
      <w:pPr>
        <w:numPr>
          <w:ilvl w:val="0"/>
          <w:numId w:val="3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What is the link between artistic mobility and a </w:t>
      </w:r>
      <w:r w:rsidRPr="004351E5">
        <w:rPr>
          <w:rFonts w:eastAsia="ArialNarrow"/>
          <w:b/>
          <w:bCs/>
          <w:lang w:val="en-US"/>
        </w:rPr>
        <w:t>knowledge-based society</w:t>
      </w:r>
      <w:r w:rsidRPr="004351E5">
        <w:rPr>
          <w:rFonts w:eastAsia="ArialNarrow"/>
          <w:lang w:val="en-US"/>
        </w:rPr>
        <w:t xml:space="preserve">? How should one re-think that mobility with regards to the development of new skills (multicultural and diversity-based aptitudes, networking, adaptability), and of new creative and innovation capabilities? </w:t>
      </w:r>
    </w:p>
    <w:p w:rsidR="00283B6E" w:rsidRPr="004351E5" w:rsidRDefault="00283B6E" w:rsidP="00283B6E">
      <w:pPr>
        <w:numPr>
          <w:ilvl w:val="0"/>
          <w:numId w:val="3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How are artistic mobility and </w:t>
      </w:r>
      <w:r w:rsidRPr="004351E5">
        <w:rPr>
          <w:rFonts w:eastAsia="ArialNarrow"/>
          <w:b/>
          <w:bCs/>
          <w:lang w:val="en-US"/>
        </w:rPr>
        <w:t xml:space="preserve">social cohesion </w:t>
      </w:r>
      <w:r w:rsidRPr="004351E5">
        <w:rPr>
          <w:rFonts w:eastAsia="ArialNarrow"/>
          <w:lang w:val="en-US"/>
        </w:rPr>
        <w:t xml:space="preserve">connected? How should one re-think that mobility with regards to social bonding; to cultural diversity and intercultural connections; and to cultural availability (and the notion of recreational occupations)? </w:t>
      </w:r>
    </w:p>
    <w:p w:rsidR="00283B6E" w:rsidRPr="004351E5" w:rsidRDefault="00283B6E" w:rsidP="00283B6E">
      <w:pPr>
        <w:numPr>
          <w:ilvl w:val="0"/>
          <w:numId w:val="3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What is the link between artistic mobility and </w:t>
      </w:r>
      <w:r w:rsidRPr="004351E5">
        <w:rPr>
          <w:rFonts w:eastAsia="ArialNarrow"/>
          <w:b/>
          <w:bCs/>
          <w:lang w:val="en-US"/>
        </w:rPr>
        <w:t>territorial coherence</w:t>
      </w:r>
      <w:r w:rsidRPr="004351E5">
        <w:rPr>
          <w:rFonts w:eastAsia="ArialNarrow"/>
          <w:lang w:val="en-US"/>
        </w:rPr>
        <w:t xml:space="preserve">? How should one re-think that mobility with regards to the development of a territorial solidarity, to notions of diversity on a given territory, and to a long-term polycentric development of the European territory (encompassing the downtown/uptown, urban/rural and even intra-urban equations)? </w:t>
      </w:r>
    </w:p>
    <w:p w:rsidR="00283B6E" w:rsidRPr="004351E5" w:rsidRDefault="00283B6E" w:rsidP="00283B6E">
      <w:pPr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As a whole, these questions take us back to the role of artistic mobility as part of </w:t>
      </w:r>
      <w:r w:rsidRPr="004351E5">
        <w:rPr>
          <w:rFonts w:eastAsia="ArialNarrow"/>
          <w:b/>
          <w:bCs/>
          <w:lang w:val="en-US"/>
        </w:rPr>
        <w:t>the development of a common cultural and social European entity</w:t>
      </w:r>
      <w:r w:rsidRPr="004351E5">
        <w:rPr>
          <w:rFonts w:eastAsia="ArialNarrow"/>
          <w:lang w:val="en-US"/>
        </w:rPr>
        <w:t xml:space="preserve">, the </w:t>
      </w:r>
      <w:r w:rsidRPr="004351E5">
        <w:rPr>
          <w:rFonts w:eastAsia="ArialNarrow"/>
          <w:b/>
          <w:bCs/>
          <w:lang w:val="en-US"/>
        </w:rPr>
        <w:t xml:space="preserve">long-term development </w:t>
      </w:r>
      <w:r w:rsidRPr="004351E5">
        <w:rPr>
          <w:rFonts w:eastAsia="ArialNarrow"/>
          <w:lang w:val="en-US"/>
        </w:rPr>
        <w:t xml:space="preserve">of the European territory and the definition of </w:t>
      </w:r>
      <w:r w:rsidRPr="004351E5">
        <w:rPr>
          <w:rFonts w:eastAsia="ArialNarrow"/>
          <w:b/>
          <w:bCs/>
          <w:lang w:val="en-US"/>
        </w:rPr>
        <w:t>a new European social framework</w:t>
      </w:r>
      <w:r w:rsidRPr="004351E5">
        <w:rPr>
          <w:rFonts w:eastAsia="ArialNarrow"/>
          <w:lang w:val="en-US"/>
        </w:rPr>
        <w:t>.</w:t>
      </w:r>
    </w:p>
    <w:p w:rsidR="00283B6E" w:rsidRPr="00283B6E" w:rsidRDefault="00283B6E" w:rsidP="00283B6E">
      <w:pPr>
        <w:pStyle w:val="2"/>
        <w:rPr>
          <w:lang w:val="en-US"/>
        </w:rPr>
      </w:pPr>
      <w:r w:rsidRPr="00283B6E">
        <w:rPr>
          <w:lang w:val="en-US"/>
        </w:rPr>
        <w:t>Answers</w:t>
      </w:r>
    </w:p>
    <w:p w:rsidR="00283B6E" w:rsidRPr="004351E5" w:rsidRDefault="00283B6E" w:rsidP="00283B6E">
      <w:pPr>
        <w:ind w:firstLine="0"/>
        <w:rPr>
          <w:rFonts w:eastAsia="ArialNarrow"/>
          <w:lang w:val="en-US"/>
        </w:rPr>
      </w:pPr>
      <w:r w:rsidRPr="004351E5">
        <w:rPr>
          <w:rFonts w:eastAsia="ArialNarrow"/>
          <w:lang w:val="en-US"/>
        </w:rPr>
        <w:t xml:space="preserve">Given the stakes, handling the question of mobility requires </w:t>
      </w:r>
      <w:r w:rsidRPr="004351E5">
        <w:rPr>
          <w:rFonts w:eastAsia="ArialNarrow"/>
          <w:b/>
          <w:bCs/>
          <w:lang w:val="en-US"/>
        </w:rPr>
        <w:t>new ways of thinking and new cultural techniques for communities and professionals alike</w:t>
      </w:r>
      <w:r w:rsidRPr="004351E5">
        <w:rPr>
          <w:rFonts w:eastAsia="ArialNarrow"/>
          <w:lang w:val="en-US"/>
        </w:rPr>
        <w:t xml:space="preserve">, particularly in assisting the latter group: </w:t>
      </w:r>
    </w:p>
    <w:p w:rsidR="00283B6E" w:rsidRPr="004351E5" w:rsidRDefault="00283B6E" w:rsidP="00283B6E">
      <w:pPr>
        <w:numPr>
          <w:ilvl w:val="0"/>
          <w:numId w:val="4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b/>
          <w:bCs/>
          <w:lang w:val="en-US"/>
        </w:rPr>
        <w:lastRenderedPageBreak/>
        <w:t>New public policies in support of mobility</w:t>
      </w:r>
      <w:r w:rsidRPr="004351E5">
        <w:rPr>
          <w:rFonts w:eastAsia="ArialNarrow"/>
          <w:lang w:val="en-US"/>
        </w:rPr>
        <w:t xml:space="preserve">, including a wider understanding of the multiple stakes (artistic, cultural, economic, social, territorial); of the different geographical scales (regional, transnational, </w:t>
      </w:r>
      <w:proofErr w:type="spellStart"/>
      <w:r w:rsidRPr="004351E5">
        <w:rPr>
          <w:rFonts w:eastAsia="ArialNarrow"/>
          <w:lang w:val="en-US"/>
        </w:rPr>
        <w:t>transregional</w:t>
      </w:r>
      <w:proofErr w:type="spellEnd"/>
      <w:r w:rsidRPr="004351E5">
        <w:rPr>
          <w:rFonts w:eastAsia="ArialNarrow"/>
          <w:lang w:val="en-US"/>
        </w:rPr>
        <w:t xml:space="preserve">, European, extra-European); of the policies and systems based on an in-depth understanding of mobility; of the policies and systems in need of development at a European, national and local level; and of a necessary </w:t>
      </w:r>
      <w:proofErr w:type="spellStart"/>
      <w:r w:rsidRPr="004351E5">
        <w:rPr>
          <w:rFonts w:eastAsia="ArialNarrow"/>
          <w:lang w:val="en-US"/>
        </w:rPr>
        <w:t>complementarity</w:t>
      </w:r>
      <w:proofErr w:type="spellEnd"/>
      <w:r w:rsidRPr="004351E5">
        <w:rPr>
          <w:rFonts w:eastAsia="ArialNarrow"/>
          <w:lang w:val="en-US"/>
        </w:rPr>
        <w:t xml:space="preserve">, coherence and confluence between these various frameworks (incorporating notions of </w:t>
      </w:r>
      <w:proofErr w:type="spellStart"/>
      <w:r w:rsidRPr="004351E5">
        <w:rPr>
          <w:rFonts w:eastAsia="ArialNarrow"/>
          <w:lang w:val="en-US"/>
        </w:rPr>
        <w:t>subsidiarity</w:t>
      </w:r>
      <w:proofErr w:type="spellEnd"/>
      <w:r w:rsidRPr="004351E5">
        <w:rPr>
          <w:rFonts w:eastAsia="ArialNarrow"/>
          <w:lang w:val="en-US"/>
        </w:rPr>
        <w:t xml:space="preserve"> and value-added individual layers).</w:t>
      </w:r>
    </w:p>
    <w:p w:rsidR="00283B6E" w:rsidRPr="004351E5" w:rsidRDefault="00283B6E" w:rsidP="00283B6E">
      <w:pPr>
        <w:numPr>
          <w:ilvl w:val="0"/>
          <w:numId w:val="4"/>
        </w:numPr>
        <w:spacing w:before="0" w:after="0"/>
        <w:rPr>
          <w:rFonts w:eastAsia="ArialNarrow"/>
          <w:lang w:val="en-US"/>
        </w:rPr>
      </w:pPr>
      <w:r w:rsidRPr="004351E5">
        <w:rPr>
          <w:rFonts w:eastAsia="ArialNarrow"/>
          <w:b/>
          <w:bCs/>
          <w:lang w:val="en-US"/>
        </w:rPr>
        <w:t>Evolving mobility policies for professionals</w:t>
      </w:r>
      <w:r w:rsidRPr="004351E5">
        <w:rPr>
          <w:rFonts w:eastAsia="ArialNarrow"/>
          <w:lang w:val="en-US"/>
        </w:rPr>
        <w:t xml:space="preserve">: how to incorporate mobility within these mutating policies; initiate it in a broad yet territorially- and socially-savvy European prospect; encourage </w:t>
      </w:r>
      <w:proofErr w:type="spellStart"/>
      <w:r w:rsidRPr="004351E5">
        <w:rPr>
          <w:rFonts w:eastAsia="ArialNarrow"/>
          <w:lang w:val="en-US"/>
        </w:rPr>
        <w:t>departitioned</w:t>
      </w:r>
      <w:proofErr w:type="spellEnd"/>
      <w:r w:rsidRPr="004351E5">
        <w:rPr>
          <w:rFonts w:eastAsia="ArialNarrow"/>
          <w:lang w:val="en-US"/>
        </w:rPr>
        <w:t xml:space="preserve"> and across-the-board policies within the framework of a networking </w:t>
      </w:r>
      <w:proofErr w:type="spellStart"/>
      <w:r w:rsidRPr="004351E5">
        <w:rPr>
          <w:rFonts w:eastAsia="ArialNarrow"/>
          <w:lang w:val="en-US"/>
        </w:rPr>
        <w:t>polyadherence</w:t>
      </w:r>
      <w:proofErr w:type="spellEnd"/>
      <w:r w:rsidRPr="004351E5">
        <w:rPr>
          <w:rFonts w:eastAsia="ArialNarrow"/>
          <w:lang w:val="en-US"/>
        </w:rPr>
        <w:t xml:space="preserve"> (</w:t>
      </w:r>
      <w:proofErr w:type="spellStart"/>
      <w:r w:rsidRPr="004351E5">
        <w:rPr>
          <w:rFonts w:eastAsia="ArialNarrow"/>
          <w:lang w:val="en-US"/>
        </w:rPr>
        <w:t>artistical</w:t>
      </w:r>
      <w:proofErr w:type="spellEnd"/>
      <w:r w:rsidRPr="004351E5">
        <w:rPr>
          <w:rFonts w:eastAsia="ArialNarrow"/>
          <w:lang w:val="en-US"/>
        </w:rPr>
        <w:t xml:space="preserve">, professional, social, territorial, etc.); and build development strategies for a specific structure or field. </w:t>
      </w:r>
    </w:p>
    <w:p w:rsidR="00283B6E" w:rsidRPr="004351E5" w:rsidRDefault="00283B6E" w:rsidP="00283B6E">
      <w:pPr>
        <w:numPr>
          <w:ilvl w:val="0"/>
          <w:numId w:val="4"/>
        </w:numPr>
        <w:spacing w:before="0" w:after="0"/>
        <w:rPr>
          <w:lang w:val="en-US"/>
        </w:rPr>
      </w:pPr>
      <w:r w:rsidRPr="004351E5">
        <w:rPr>
          <w:rFonts w:eastAsia="ArialNarrow"/>
          <w:b/>
          <w:bCs/>
          <w:lang w:val="en-US"/>
        </w:rPr>
        <w:t xml:space="preserve">Evolving resources for mobility assistance </w:t>
      </w:r>
      <w:r w:rsidRPr="004351E5">
        <w:rPr>
          <w:rFonts w:eastAsia="ArialNarrow"/>
          <w:lang w:val="en-US"/>
        </w:rPr>
        <w:t>(complexity management engineering): how to create appropriate resources for multiple mobility targets (</w:t>
      </w:r>
      <w:proofErr w:type="spellStart"/>
      <w:r w:rsidRPr="004351E5">
        <w:rPr>
          <w:rFonts w:eastAsia="ArialNarrow"/>
          <w:lang w:val="en-US"/>
        </w:rPr>
        <w:t>sectorial</w:t>
      </w:r>
      <w:proofErr w:type="spellEnd"/>
      <w:r w:rsidRPr="004351E5">
        <w:rPr>
          <w:rFonts w:eastAsia="ArialNarrow"/>
          <w:lang w:val="en-US"/>
        </w:rPr>
        <w:t>, economic, social, territorial); resources incorporating mobility as part of a process (anticipation, exploration, organization, etc.); and resources for providers of mobility projects allowing for a greater autonomy, and the synchronization of a structure’s framework and economic management with the stakes at hand.</w:t>
      </w:r>
    </w:p>
    <w:p w:rsidR="00283B6E" w:rsidRPr="00B65944" w:rsidRDefault="00283B6E" w:rsidP="00283B6E">
      <w:pPr>
        <w:pStyle w:val="a"/>
        <w:numPr>
          <w:ilvl w:val="0"/>
          <w:numId w:val="0"/>
        </w:numPr>
        <w:spacing w:before="288" w:after="288"/>
        <w:ind w:left="720"/>
        <w:rPr>
          <w:lang w:val="en-US"/>
        </w:rPr>
      </w:pPr>
    </w:p>
    <w:p w:rsidR="00B7748F" w:rsidRPr="00283B6E" w:rsidRDefault="00B7748F" w:rsidP="004F0260">
      <w:pPr>
        <w:spacing w:before="288" w:after="288"/>
        <w:rPr>
          <w:lang w:val="en-US"/>
        </w:rPr>
      </w:pPr>
    </w:p>
    <w:sectPr w:rsidR="00B7748F" w:rsidRPr="00283B6E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CB9801B0"/>
    <w:lvl w:ilvl="0" w:tplc="397CBCC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7D36"/>
    <w:multiLevelType w:val="hybridMultilevel"/>
    <w:tmpl w:val="352C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23074"/>
    <w:multiLevelType w:val="hybridMultilevel"/>
    <w:tmpl w:val="1FE2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622F1"/>
    <w:multiLevelType w:val="hybridMultilevel"/>
    <w:tmpl w:val="4BD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83B6E"/>
    <w:rsid w:val="00283B6E"/>
    <w:rsid w:val="004F0260"/>
    <w:rsid w:val="006D04A3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3B6E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83B6E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283B6E"/>
    <w:pPr>
      <w:spacing w:before="360" w:after="0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3B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83B6E"/>
    <w:rPr>
      <w:rFonts w:ascii="Cambria" w:eastAsia="Times New Roman" w:hAnsi="Cambria" w:cs="Times New Roman"/>
      <w:b/>
      <w:bCs/>
      <w:kern w:val="32"/>
      <w:sz w:val="28"/>
      <w:szCs w:val="28"/>
    </w:rPr>
  </w:style>
  <w:style w:type="paragraph" w:customStyle="1" w:styleId="a">
    <w:name w:val="Маркированный"/>
    <w:basedOn w:val="a0"/>
    <w:link w:val="a4"/>
    <w:qFormat/>
    <w:rsid w:val="00283B6E"/>
    <w:pPr>
      <w:numPr>
        <w:numId w:val="1"/>
      </w:numPr>
      <w:spacing w:before="60" w:after="60"/>
      <w:jc w:val="left"/>
    </w:pPr>
  </w:style>
  <w:style w:type="character" w:customStyle="1" w:styleId="a4">
    <w:name w:val="Маркированный Знак"/>
    <w:basedOn w:val="a1"/>
    <w:link w:val="a"/>
    <w:rsid w:val="00283B6E"/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basedOn w:val="a1"/>
    <w:qFormat/>
    <w:rsid w:val="00283B6E"/>
    <w:rPr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2010-04-09T08:37:00Z</dcterms:created>
  <dcterms:modified xsi:type="dcterms:W3CDTF">2010-04-09T08:38:00Z</dcterms:modified>
</cp:coreProperties>
</file>