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AA" w:rsidRPr="00FD0176" w:rsidRDefault="001A5DAA" w:rsidP="001A5DAA">
      <w:pPr>
        <w:pStyle w:val="1"/>
        <w:spacing w:before="288" w:after="288"/>
      </w:pPr>
      <w:r w:rsidRPr="00FD0176">
        <w:t>Что мы уже сделали и что еще должны сделать</w:t>
      </w:r>
      <w:r>
        <w:t xml:space="preserve"> </w:t>
      </w:r>
      <w:r w:rsidRPr="00FD0176">
        <w:t>для развития европейской составляющей актуальной российской культуры</w:t>
      </w:r>
    </w:p>
    <w:p w:rsidR="001A5DAA" w:rsidRPr="00FD0176" w:rsidRDefault="001A5DAA" w:rsidP="001A5DAA">
      <w:pPr>
        <w:ind w:firstLine="0"/>
        <w:rPr>
          <w:rStyle w:val="a3"/>
        </w:rPr>
      </w:pPr>
      <w:r w:rsidRPr="00FD0176">
        <w:rPr>
          <w:rStyle w:val="a3"/>
        </w:rPr>
        <w:t>Гор Анна Марковна</w:t>
      </w:r>
    </w:p>
    <w:p w:rsidR="001A5DAA" w:rsidRPr="00FD0176" w:rsidRDefault="001A5DAA" w:rsidP="001A5DAA">
      <w:pPr>
        <w:ind w:firstLine="0"/>
        <w:jc w:val="left"/>
        <w:rPr>
          <w:rFonts w:ascii="Cambria" w:hAnsi="Cambria"/>
          <w:sz w:val="26"/>
          <w:szCs w:val="26"/>
        </w:rPr>
      </w:pPr>
      <w:r w:rsidRPr="00FD0176">
        <w:rPr>
          <w:rFonts w:ascii="Cambria" w:hAnsi="Cambria"/>
          <w:sz w:val="26"/>
          <w:szCs w:val="26"/>
        </w:rPr>
        <w:t>Директор Приволжского филиала Государственного центра современного искусства</w:t>
      </w:r>
      <w:r w:rsidRPr="00FD0176">
        <w:rPr>
          <w:rFonts w:ascii="Cambria" w:hAnsi="Cambria"/>
          <w:sz w:val="26"/>
          <w:szCs w:val="26"/>
        </w:rPr>
        <w:br/>
        <w:t>Председатель правления Фонда «Культурная столица Поволжья» (Нижний Новгород)</w:t>
      </w:r>
    </w:p>
    <w:p w:rsidR="001A5DAA" w:rsidRPr="00F71AB0" w:rsidRDefault="001A5DAA" w:rsidP="001A5DAA">
      <w:pPr>
        <w:ind w:firstLine="0"/>
      </w:pPr>
      <w:r w:rsidRPr="00F71AB0">
        <w:t xml:space="preserve">До конца 1980-х современное искусство находилось в России в латентном состоянии. </w:t>
      </w:r>
      <w:proofErr w:type="gramStart"/>
      <w:r w:rsidRPr="00F71AB0">
        <w:t xml:space="preserve">Его «выход на поверхность» и начавшаяся в начале 1990-х </w:t>
      </w:r>
      <w:proofErr w:type="spellStart"/>
      <w:r w:rsidRPr="00F71AB0">
        <w:t>институализация</w:t>
      </w:r>
      <w:proofErr w:type="spellEnd"/>
      <w:r w:rsidRPr="00F71AB0">
        <w:t xml:space="preserve"> соответствовали</w:t>
      </w:r>
      <w:r>
        <w:t xml:space="preserve"> </w:t>
      </w:r>
      <w:r w:rsidRPr="00F71AB0">
        <w:t xml:space="preserve">бурным общественным изменениям </w:t>
      </w:r>
      <w:r w:rsidRPr="0023505E">
        <w:t>и</w:t>
      </w:r>
      <w:r w:rsidRPr="00F71AB0">
        <w:t xml:space="preserve"> во многом символизировали их.</w:t>
      </w:r>
      <w:proofErr w:type="gramEnd"/>
      <w:r w:rsidRPr="00F71AB0">
        <w:t xml:space="preserve"> Вписывание в международный художественный</w:t>
      </w:r>
      <w:r>
        <w:t xml:space="preserve"> </w:t>
      </w:r>
      <w:r w:rsidRPr="00F71AB0">
        <w:t>контекст, творческая интеграция, заполнение информационных лакун остро стояли на повестке дня. Кроме того, язык современного, или, как принято говорить в России, актуального искусства не был понятен большей части российского зрителя. В 1990-е годы сотрудничество со странами ЕС: выставки европейских авторов, консультации и выступления специалистов, перевод книг и организация совместных проектов становились, в сущности, способом легитимации современного искусства в России.</w:t>
      </w:r>
      <w:r>
        <w:t xml:space="preserve"> </w:t>
      </w:r>
    </w:p>
    <w:p w:rsidR="001A5DAA" w:rsidRPr="00F71AB0" w:rsidRDefault="001A5DAA" w:rsidP="001A5DAA">
      <w:r w:rsidRPr="00F71AB0">
        <w:t xml:space="preserve">С наступлением 2000-х ситуация несколько изменилась: интенсивные культурные обмены превратили Москву в одну из мировых столиц, по уровню международных фестивалей не уступающую столицам европейским. Однако широкое понимание культуры, невозможное без активного гражданского общества, дискуссий и обсуждений, развитой экспертизы и т.п., не получило развития. А в российских регионах, в отличие от Москвы, качественные параметры культуры до сих пор остаются совершенно иными. </w:t>
      </w:r>
    </w:p>
    <w:p w:rsidR="001A5DAA" w:rsidRPr="00F71AB0" w:rsidRDefault="001A5DAA" w:rsidP="001A5DAA">
      <w:r>
        <w:t xml:space="preserve">В то же время </w:t>
      </w:r>
      <w:r w:rsidRPr="00F71AB0">
        <w:t xml:space="preserve">целый ряд важных инициатив, </w:t>
      </w:r>
      <w:r w:rsidRPr="0023505E">
        <w:t>таких, например,</w:t>
      </w:r>
      <w:r w:rsidRPr="00F71AB0">
        <w:t xml:space="preserve"> как созданная по европейской модели программа «Культурная столица Поволжья», в этот период ставили своей целью добиться качественных изменений именно в региональной культурной ситуации. Для этого предпринимались специальные шаги по привлечению европейских партнеров как экспертов, тренеров, авторов успешно действующих моделей, достойных внедрения в России. В этих условиях сотрудничество с ЕС становилось лакмусом на инновационную составляющую в культуре. </w:t>
      </w:r>
      <w:r>
        <w:t>Обеспечение</w:t>
      </w:r>
      <w:r w:rsidRPr="00D44191">
        <w:t xml:space="preserve"> </w:t>
      </w:r>
      <w:proofErr w:type="spellStart"/>
      <w:r>
        <w:t>транспарентности</w:t>
      </w:r>
      <w:proofErr w:type="spellEnd"/>
      <w:r>
        <w:t xml:space="preserve"> </w:t>
      </w:r>
      <w:r w:rsidRPr="00F71AB0">
        <w:t xml:space="preserve">процедур </w:t>
      </w:r>
      <w:proofErr w:type="spellStart"/>
      <w:r w:rsidRPr="00F71AB0">
        <w:t>грантовых</w:t>
      </w:r>
      <w:proofErr w:type="spellEnd"/>
      <w:r w:rsidRPr="00F71AB0">
        <w:t xml:space="preserve"> </w:t>
      </w:r>
      <w:r w:rsidRPr="0023505E">
        <w:t>конкурсов для</w:t>
      </w:r>
      <w:r w:rsidRPr="00F71AB0">
        <w:t xml:space="preserve"> поддержки неожиданных и смелых идей, развитие городов через изменение их облика, обеспечение устойчивости интереса к актуальной культуре – вот направления нашего сотрудничества с 2000 по 2006 год.</w:t>
      </w:r>
    </w:p>
    <w:p w:rsidR="001A5DAA" w:rsidRPr="00F71AB0" w:rsidRDefault="001A5DAA" w:rsidP="001A5DAA">
      <w:r w:rsidRPr="00F71AB0">
        <w:t>В настоящий момент наши основные усилия сосредоточены на создании в городах Поволжья сети, обеспечивающей поддержку творческих инициатив в области актуального искусства. Оно по определению интернационально, поэтому все возможные пути его развития, даже предусматривающие изменение местной ситуации, невозможны без расширения диапазона международного сотрудничества. Считаю, что мы на пороге нового этапа взаимодействия. К 2010</w:t>
      </w:r>
      <w:r>
        <w:t xml:space="preserve"> году</w:t>
      </w:r>
      <w:r w:rsidRPr="00F71AB0">
        <w:t xml:space="preserve">, достигнув определенных успехов во внутреннем институциональном строительстве и международной музейно-выставочной сцене, мы приходим </w:t>
      </w:r>
      <w:r>
        <w:t>подготовленными</w:t>
      </w:r>
      <w:r w:rsidRPr="00F71AB0">
        <w:t xml:space="preserve"> к равноправному сотрудничеству с европейскими странами</w:t>
      </w:r>
      <w:r w:rsidRPr="00D44191">
        <w:t>, и</w:t>
      </w:r>
      <w:r>
        <w:t xml:space="preserve"> </w:t>
      </w:r>
      <w:r w:rsidRPr="00D44191">
        <w:t>оно</w:t>
      </w:r>
      <w:r w:rsidRPr="00F71AB0">
        <w:t xml:space="preserve"> должно привести к созданию общего европейского контекста с российским участием. Однако такой результат не будет достигнут сам по себе. Необходимы специальные действия, восполняющие существующие в России дефициты в этой области. Так, в российских учебных заведениях нет возможностей для обучения </w:t>
      </w:r>
      <w:r w:rsidRPr="00F71AB0">
        <w:lastRenderedPageBreak/>
        <w:t>современному искусству, поскольку вся система преподавания основана на академических установках и методиках. Поэтому молодой актуальный художник или получает представление о нем в двух-трех негосударственных центрах, или уезжает учиться в европейские страны. Выходом было бы создание при помощи структур Евросоюза</w:t>
      </w:r>
      <w:r w:rsidRPr="00F71AB0">
        <w:rPr>
          <w:i/>
        </w:rPr>
        <w:t xml:space="preserve"> </w:t>
      </w:r>
      <w:r w:rsidRPr="00F71AB0">
        <w:t xml:space="preserve">творческого учебного заведения нового типа (экспериментальное искусство, синтетические формы), с обязательным международным преподавательским компонентом. </w:t>
      </w:r>
    </w:p>
    <w:p w:rsidR="001A5DAA" w:rsidRPr="00F71AB0" w:rsidRDefault="001A5DAA" w:rsidP="001A5DAA">
      <w:pPr>
        <w:spacing w:before="288" w:after="288"/>
      </w:pPr>
      <w:r w:rsidRPr="00F71AB0">
        <w:t xml:space="preserve">Мы очень благодарны за те возможности, которые Евросоюз открывает российским культурным инициативам своими </w:t>
      </w:r>
      <w:proofErr w:type="spellStart"/>
      <w:r w:rsidRPr="00F71AB0">
        <w:t>грантовыми</w:t>
      </w:r>
      <w:proofErr w:type="spellEnd"/>
      <w:r w:rsidRPr="00F71AB0">
        <w:t xml:space="preserve"> конкурсами. Однако нужно отметить, что это касается, в первую очередь, проектов</w:t>
      </w:r>
      <w:r>
        <w:t xml:space="preserve"> </w:t>
      </w:r>
      <w:proofErr w:type="spellStart"/>
      <w:r w:rsidRPr="00F71AB0">
        <w:t>многоаспектных</w:t>
      </w:r>
      <w:proofErr w:type="spellEnd"/>
      <w:r w:rsidRPr="00F71AB0">
        <w:t xml:space="preserve">, больших по затратам средств, времени и усилий. Не отрицая их значимости, представляется важным также поддерживать экспериментальные форматы сотрудничества, лабораторные художественные опыты, динамичные инициативы, прокладывающие пути в новых областях или делающие это непривычными средствами. Конкурс малых грантов по упрощенной процедуре, совместно финансируемых Россией и ЕС и направленных на поддержку инноваций, не потребует слишком больших средств. Зато он обеспечит «быстрое реагирование» на российско-европейские идеи в области современного искусства (а может быть, культуры в целом…), что может оказать существенное влияние на интенсивность и динамику культурного сотрудничества. </w:t>
      </w:r>
    </w:p>
    <w:p w:rsidR="00B7748F" w:rsidRDefault="00B7748F" w:rsidP="004F0260">
      <w:pPr>
        <w:spacing w:before="288" w:after="288"/>
      </w:pPr>
    </w:p>
    <w:sectPr w:rsidR="00B7748F" w:rsidSect="00B77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characterSpacingControl w:val="doNotCompress"/>
  <w:compat/>
  <w:rsids>
    <w:rsidRoot w:val="001A5DAA"/>
    <w:rsid w:val="001A5DAA"/>
    <w:rsid w:val="004F0260"/>
    <w:rsid w:val="00B7748F"/>
    <w:rsid w:val="00FB4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120" w:afterLines="120" w:line="360" w:lineRule="auto"/>
        <w:ind w:left="107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DAA"/>
    <w:pPr>
      <w:spacing w:beforeLines="0" w:afterLines="0" w:line="240" w:lineRule="auto"/>
      <w:ind w:left="0" w:firstLine="708"/>
    </w:pPr>
    <w:rPr>
      <w:rFonts w:ascii="Times New Roman" w:eastAsia="Calibri" w:hAnsi="Times New Roman" w:cs="Times New Roman"/>
      <w:sz w:val="24"/>
      <w:szCs w:val="24"/>
    </w:rPr>
  </w:style>
  <w:style w:type="paragraph" w:styleId="1">
    <w:name w:val="heading 1"/>
    <w:basedOn w:val="a"/>
    <w:next w:val="a"/>
    <w:link w:val="10"/>
    <w:uiPriority w:val="9"/>
    <w:qFormat/>
    <w:rsid w:val="001A5DAA"/>
    <w:pPr>
      <w:keepNext/>
      <w:spacing w:before="240" w:after="60"/>
      <w:ind w:firstLine="0"/>
      <w:jc w:val="left"/>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DAA"/>
    <w:rPr>
      <w:rFonts w:ascii="Cambria" w:eastAsia="Times New Roman" w:hAnsi="Cambria" w:cs="Times New Roman"/>
      <w:b/>
      <w:bCs/>
      <w:kern w:val="32"/>
      <w:sz w:val="32"/>
      <w:szCs w:val="32"/>
    </w:rPr>
  </w:style>
  <w:style w:type="character" w:styleId="a3">
    <w:name w:val="Emphasis"/>
    <w:basedOn w:val="a0"/>
    <w:qFormat/>
    <w:rsid w:val="001A5DAA"/>
    <w:rPr>
      <w:b/>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2010-04-06T13:02:00Z</dcterms:created>
  <dcterms:modified xsi:type="dcterms:W3CDTF">2010-04-06T13:02:00Z</dcterms:modified>
</cp:coreProperties>
</file>