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07" w:rsidRDefault="00F41507" w:rsidP="00F41507">
      <w:pPr>
        <w:pStyle w:val="1"/>
        <w:spacing w:before="288" w:after="288"/>
      </w:pPr>
      <w:r>
        <w:t xml:space="preserve">Культура и культурное наследие: вектор законодательных инициатив для улучшения законодательной и нормативной среды между Россией и ЕС </w:t>
      </w:r>
    </w:p>
    <w:p w:rsidR="00F41507" w:rsidRPr="00064C4C" w:rsidRDefault="00F41507" w:rsidP="00F41507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064C4C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Трубочкин</w:t>
      </w:r>
      <w:proofErr w:type="spellEnd"/>
      <w:r w:rsidRPr="00064C4C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 xml:space="preserve"> Дмитрий Владимирович</w:t>
      </w:r>
    </w:p>
    <w:p w:rsidR="00F41507" w:rsidRPr="00064C4C" w:rsidRDefault="00F41507" w:rsidP="00F41507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064C4C">
        <w:rPr>
          <w:rStyle w:val="a3"/>
          <w:rFonts w:ascii="Cambria" w:hAnsi="Cambria"/>
          <w:sz w:val="26"/>
          <w:szCs w:val="26"/>
        </w:rPr>
        <w:t>Директор Государственного института искусствознания, доктор искусствоведения</w:t>
      </w:r>
    </w:p>
    <w:p w:rsidR="00F41507" w:rsidRPr="009D22BC" w:rsidRDefault="00F41507" w:rsidP="00F41507">
      <w:pPr>
        <w:ind w:firstLine="0"/>
      </w:pPr>
      <w:r w:rsidRPr="009D22BC">
        <w:t>Я благодарю председательствующих и хотел бы присоединиться к тем, кто уже сказал слова благодарности организаторам, за приглашение на этот семинар.</w:t>
      </w:r>
    </w:p>
    <w:p w:rsidR="00F41507" w:rsidRPr="009D22BC" w:rsidRDefault="00F41507" w:rsidP="00F41507">
      <w:r w:rsidRPr="009D22BC">
        <w:t xml:space="preserve">Действительно, это удивительная возможность представить важные идеи касательно культуры, потому что здесь есть все – и высокой уровень участников, и разнообразие дел, которыми они занимаются, и то, что они едины в отношении культуры и культурного наследия. Это очень важно. </w:t>
      </w:r>
    </w:p>
    <w:p w:rsidR="00F41507" w:rsidRPr="00761044" w:rsidRDefault="00F41507" w:rsidP="00F41507">
      <w:r w:rsidRPr="009D22BC">
        <w:t xml:space="preserve">Я бы хотел высказать несколько тезисов в жанре размышления и несколько соображений рекомендательного характера </w:t>
      </w:r>
      <w:r>
        <w:t xml:space="preserve">относительно </w:t>
      </w:r>
      <w:r w:rsidRPr="009D22BC">
        <w:t>законодательства в сфере культуры и культурного наследия, а также ситуации в области сотрудничества между Россией и Евросоюзом.</w:t>
      </w:r>
      <w:r w:rsidRPr="00761044">
        <w:t xml:space="preserve"> </w:t>
      </w:r>
    </w:p>
    <w:p w:rsidR="00F41507" w:rsidRPr="00761044" w:rsidRDefault="00F41507" w:rsidP="00F41507">
      <w:r w:rsidRPr="00761044">
        <w:t xml:space="preserve">Многие из нас помнят, что было время, когда международные соглашения, декларации, коммюнике о культуре и культурном наследии в Советском Союзе и России воспринимались изначально критично, в том числе экспертным сообществом. Некоторые </w:t>
      </w:r>
      <w:r>
        <w:t xml:space="preserve">эксперты </w:t>
      </w:r>
      <w:r w:rsidRPr="00761044">
        <w:t>говорили, что эти документы слишком декларативны</w:t>
      </w:r>
      <w:r>
        <w:t xml:space="preserve"> – в </w:t>
      </w:r>
      <w:r w:rsidRPr="00761044">
        <w:t>них</w:t>
      </w:r>
      <w:r>
        <w:t xml:space="preserve"> </w:t>
      </w:r>
      <w:r w:rsidRPr="00761044">
        <w:t>есть заявления о тождестве целей, о с</w:t>
      </w:r>
      <w:r>
        <w:t>опоставимости форм деятельности</w:t>
      </w:r>
      <w:r w:rsidRPr="006D4F07">
        <w:t>.</w:t>
      </w:r>
      <w:r w:rsidRPr="00761044">
        <w:t xml:space="preserve"> </w:t>
      </w:r>
      <w:r>
        <w:t>Однако</w:t>
      </w:r>
      <w:r w:rsidRPr="00761044">
        <w:t xml:space="preserve"> слишком много свободы оставлено для самостоятельного планирования для реализации этих целей. А некоторые наоборот утверждали, что в них содержится интенция привести все к единым стандартам. </w:t>
      </w:r>
      <w:r>
        <w:t>С</w:t>
      </w:r>
      <w:r w:rsidRPr="00761044">
        <w:t>удя по нынешнему времени</w:t>
      </w:r>
      <w:r>
        <w:t>,</w:t>
      </w:r>
      <w:r w:rsidRPr="00761044">
        <w:t xml:space="preserve"> ни те, ни другие оппоненты </w:t>
      </w:r>
      <w:r>
        <w:t>в итоге оказали неправы</w:t>
      </w:r>
      <w:r w:rsidRPr="00761044">
        <w:t xml:space="preserve">. </w:t>
      </w:r>
    </w:p>
    <w:p w:rsidR="00F41507" w:rsidRDefault="00F41507" w:rsidP="00F41507">
      <w:r w:rsidRPr="00761044">
        <w:t>Совершенно очевидно, что сейчас отношение к этим документам, во всяком случае, в профессиональном экспертном сообществе, и в целом в обществе, поменял</w:t>
      </w:r>
      <w:r>
        <w:t>ось. И это позитивное отношение</w:t>
      </w:r>
      <w:r w:rsidRPr="00761044">
        <w:t xml:space="preserve"> передается на государственный уровень. Одна из причин ясна</w:t>
      </w:r>
      <w:r>
        <w:t>, и</w:t>
      </w:r>
      <w:r w:rsidRPr="00761044">
        <w:t xml:space="preserve"> </w:t>
      </w:r>
      <w:r>
        <w:t>о</w:t>
      </w:r>
      <w:r w:rsidRPr="00761044">
        <w:t xml:space="preserve">на очень проста – наше законодательство о культуре в принципе, </w:t>
      </w:r>
      <w:r>
        <w:t>не говоря</w:t>
      </w:r>
      <w:r w:rsidRPr="00761044">
        <w:t xml:space="preserve"> </w:t>
      </w:r>
      <w:r>
        <w:t>о</w:t>
      </w:r>
      <w:r w:rsidRPr="00761044">
        <w:t xml:space="preserve"> частност</w:t>
      </w:r>
      <w:r>
        <w:t>ях и деталях, организован</w:t>
      </w:r>
      <w:r w:rsidRPr="00761044">
        <w:t>о точно так же, как европейское законодательство. В</w:t>
      </w:r>
      <w:r>
        <w:t xml:space="preserve"> его</w:t>
      </w:r>
      <w:r w:rsidRPr="00761044">
        <w:t xml:space="preserve"> основе лежит декларативный документ, над ним надстраиваются конкретные документы, которые регулируют определенные отраслевые проблемы и определенные направления. </w:t>
      </w:r>
    </w:p>
    <w:p w:rsidR="00F41507" w:rsidRDefault="00F41507" w:rsidP="00F41507">
      <w:r w:rsidRPr="00761044">
        <w:t xml:space="preserve">Таким декларативным, базовым документом, для нас является основа законодательства Российской Федерации о культуре. В свое время этот документ был очень прогрессивным, задумывался, как своеобразная </w:t>
      </w:r>
      <w:r>
        <w:t>«</w:t>
      </w:r>
      <w:r w:rsidRPr="00761044">
        <w:t>Конституция культуры</w:t>
      </w:r>
      <w:r>
        <w:t>»</w:t>
      </w:r>
      <w:r w:rsidRPr="00761044">
        <w:t xml:space="preserve">. Там были сделаны очень важные вещи. Например, </w:t>
      </w:r>
      <w:r>
        <w:t xml:space="preserve">в нем, </w:t>
      </w:r>
      <w:r w:rsidRPr="00761044">
        <w:t>впервые за всю историю СССР и России</w:t>
      </w:r>
      <w:r>
        <w:t>,</w:t>
      </w:r>
      <w:r w:rsidRPr="00761044">
        <w:t xml:space="preserve"> на государственном уровне было дано определение культурной политики</w:t>
      </w:r>
      <w:r>
        <w:t xml:space="preserve"> и</w:t>
      </w:r>
      <w:r w:rsidRPr="00761044">
        <w:t xml:space="preserve"> </w:t>
      </w:r>
      <w:r>
        <w:t xml:space="preserve">впервые </w:t>
      </w:r>
      <w:r w:rsidRPr="00761044">
        <w:t xml:space="preserve">раскрыты государственные гарантии в области культуры. Все это было сделано не случайно. </w:t>
      </w:r>
      <w:r>
        <w:t xml:space="preserve">При подготовке этого документа </w:t>
      </w:r>
      <w:r w:rsidRPr="00761044">
        <w:t>была проделана очень большая работа по изучению международных документов</w:t>
      </w:r>
      <w:r>
        <w:t xml:space="preserve">, в том числе и документов, действующих в </w:t>
      </w:r>
      <w:r w:rsidRPr="00761044">
        <w:t xml:space="preserve">Европейском сообществе. </w:t>
      </w:r>
    </w:p>
    <w:p w:rsidR="00F41507" w:rsidRPr="00761044" w:rsidRDefault="00F41507" w:rsidP="00F41507">
      <w:r w:rsidRPr="00761044">
        <w:t>Сейчас он в значительной степени декларативный</w:t>
      </w:r>
      <w:r>
        <w:t xml:space="preserve">, так как в последующие годы произошло серьезное негативное сокращение норм этого закона, составляющего основу </w:t>
      </w:r>
      <w:r w:rsidRPr="00761044">
        <w:t>российского законодательства по культуре</w:t>
      </w:r>
      <w:r>
        <w:t>. Из него были исключены важные ц</w:t>
      </w:r>
      <w:r w:rsidRPr="00761044">
        <w:t xml:space="preserve">елые разделы, </w:t>
      </w:r>
      <w:r>
        <w:t>такие</w:t>
      </w:r>
      <w:r w:rsidRPr="00761044">
        <w:t xml:space="preserve"> как «Собственность в сфере культуры», «Финансирование», «Инвестиции в сфере культуры», </w:t>
      </w:r>
      <w:r>
        <w:t xml:space="preserve">а также положения, связанные с </w:t>
      </w:r>
      <w:r w:rsidRPr="00761044">
        <w:t>финансовы</w:t>
      </w:r>
      <w:r>
        <w:t>ми</w:t>
      </w:r>
      <w:r w:rsidRPr="00761044">
        <w:t xml:space="preserve"> гаранти</w:t>
      </w:r>
      <w:r>
        <w:t>ями</w:t>
      </w:r>
      <w:r w:rsidRPr="00761044">
        <w:t xml:space="preserve"> </w:t>
      </w:r>
      <w:r w:rsidRPr="00761044">
        <w:lastRenderedPageBreak/>
        <w:t xml:space="preserve">государства в отношении культуры. </w:t>
      </w:r>
      <w:r>
        <w:t>Н</w:t>
      </w:r>
      <w:r w:rsidRPr="00761044">
        <w:t xml:space="preserve">ад этой </w:t>
      </w:r>
      <w:r>
        <w:t>«</w:t>
      </w:r>
      <w:r w:rsidRPr="00761044">
        <w:t>Конституцией культуры</w:t>
      </w:r>
      <w:r>
        <w:t>»</w:t>
      </w:r>
      <w:r w:rsidRPr="00761044">
        <w:t xml:space="preserve"> надстраиваются отраслевые законы</w:t>
      </w:r>
      <w:r>
        <w:t xml:space="preserve"> -</w:t>
      </w:r>
      <w:r w:rsidRPr="00761044">
        <w:t xml:space="preserve"> «О музеях и музейном фонде», «Национальные культурные автономии», «О культурном наследии» и </w:t>
      </w:r>
      <w:r>
        <w:t>т.д.</w:t>
      </w:r>
      <w:r w:rsidRPr="00761044">
        <w:t xml:space="preserve"> </w:t>
      </w:r>
    </w:p>
    <w:p w:rsidR="00F41507" w:rsidRPr="00761044" w:rsidRDefault="00F41507" w:rsidP="00F41507">
      <w:r w:rsidRPr="00761044">
        <w:t xml:space="preserve">Очевидно, что сейчас законодательство в сфере культуры Российской Федерации фрагментарно. Достаточно вспомнить важные и непрекращающиеся дискуссии в отношении закона об объектах культурного наследия, памятниках истории культуры. </w:t>
      </w:r>
      <w:r>
        <w:t>Б</w:t>
      </w:r>
      <w:r w:rsidRPr="00761044">
        <w:t xml:space="preserve">ыло много негативных историй, связанных с этим. Закон принят в 2002 году, а нормы в отношении подзаконных актов выполнены были только в 2009 – прошло 7 лет. Ну и много других обстоятельств, в том числе и базовая вещь, связанная с тем, что этот закон регулирует только недвижимые памятники культуры, а в отношении движимых памятников многие ощущают своеобразный правовой вакуум. </w:t>
      </w:r>
      <w:r>
        <w:t>Однако имеется еще одно</w:t>
      </w:r>
      <w:r w:rsidRPr="00761044">
        <w:t xml:space="preserve"> даже более важное обстоятельство, которое показывает, что европейские документы о культуре и культурном наследии сейчас становится актуальными для современной России. Достаточно вспомнить, хотя бы два</w:t>
      </w:r>
      <w:r>
        <w:t xml:space="preserve"> документа</w:t>
      </w:r>
      <w:r w:rsidRPr="00761044">
        <w:t xml:space="preserve">. Один из них </w:t>
      </w:r>
      <w:r>
        <w:t xml:space="preserve">– </w:t>
      </w:r>
      <w:r w:rsidRPr="00761044">
        <w:t>коммюнике «</w:t>
      </w:r>
      <w:r>
        <w:t>Е</w:t>
      </w:r>
      <w:r w:rsidRPr="00761044">
        <w:t>вропейск</w:t>
      </w:r>
      <w:r>
        <w:t>ая</w:t>
      </w:r>
      <w:r w:rsidRPr="00761044">
        <w:t xml:space="preserve"> программ</w:t>
      </w:r>
      <w:r>
        <w:t>а</w:t>
      </w:r>
      <w:r w:rsidRPr="00761044">
        <w:t xml:space="preserve"> действий </w:t>
      </w:r>
      <w:r>
        <w:t>в сфере</w:t>
      </w:r>
      <w:r w:rsidRPr="00761044">
        <w:t xml:space="preserve"> культуре в </w:t>
      </w:r>
      <w:proofErr w:type="spellStart"/>
      <w:r w:rsidRPr="00761044">
        <w:t>глобализ</w:t>
      </w:r>
      <w:r>
        <w:t>у</w:t>
      </w:r>
      <w:r w:rsidRPr="00761044">
        <w:t>ющем</w:t>
      </w:r>
      <w:r>
        <w:t>ся</w:t>
      </w:r>
      <w:proofErr w:type="spellEnd"/>
      <w:r w:rsidRPr="00761044">
        <w:t xml:space="preserve"> мире» от 10 мая 2007 года</w:t>
      </w:r>
      <w:r>
        <w:t>.</w:t>
      </w:r>
      <w:r w:rsidRPr="00761044">
        <w:t xml:space="preserve"> </w:t>
      </w:r>
      <w:r>
        <w:t>А также</w:t>
      </w:r>
      <w:r w:rsidRPr="00761044">
        <w:t xml:space="preserve"> документ, которому уже более 10 лет, но который до сих пор важен</w:t>
      </w:r>
      <w:r>
        <w:t xml:space="preserve"> -</w:t>
      </w:r>
      <w:r w:rsidRPr="00761044">
        <w:t xml:space="preserve"> это «План действий по политике в области культуры в интересах развития» от 8 апреля 1998 года. Я </w:t>
      </w:r>
      <w:r>
        <w:t>упоминаю</w:t>
      </w:r>
      <w:r w:rsidRPr="00761044">
        <w:t xml:space="preserve"> об этом, потому что мы сейчас находимся в очень интересном и динамичном законодательном поле в отношении культуры и культурного наследия. </w:t>
      </w:r>
    </w:p>
    <w:p w:rsidR="00F41507" w:rsidRPr="00761044" w:rsidRDefault="00F41507" w:rsidP="00F41507">
      <w:r>
        <w:t>Необходимо отметить</w:t>
      </w:r>
      <w:r w:rsidRPr="00761044">
        <w:t>, что Комитет по культуре Государственной Думы</w:t>
      </w:r>
      <w:r>
        <w:t xml:space="preserve"> Федерального собрания Российской Федерации </w:t>
      </w:r>
      <w:r w:rsidRPr="00761044">
        <w:t>сейчас ведет очень интересную и активную работу по разработке нового закона о культуре, по внесению поправок в закон о памятниках, об объектах культурного наследия. Достаточно вспомнить работу правового департамента Министерства культуры</w:t>
      </w:r>
      <w:r>
        <w:t xml:space="preserve"> РФ</w:t>
      </w:r>
      <w:r w:rsidRPr="00761044">
        <w:t xml:space="preserve">, в том числе над законодательством и практикой в сфере культурных ценностей. </w:t>
      </w:r>
    </w:p>
    <w:p w:rsidR="00F41507" w:rsidRPr="00761044" w:rsidRDefault="00F41507" w:rsidP="00F41507">
      <w:r w:rsidRPr="00761044">
        <w:t xml:space="preserve">В </w:t>
      </w:r>
      <w:r>
        <w:t>последнее</w:t>
      </w:r>
      <w:r w:rsidRPr="00761044">
        <w:t xml:space="preserve"> время было проведено достаточное число интересных заседаний и круглых столов</w:t>
      </w:r>
      <w:r>
        <w:t>.</w:t>
      </w:r>
      <w:r w:rsidRPr="00761044">
        <w:t xml:space="preserve"> </w:t>
      </w:r>
      <w:proofErr w:type="gramStart"/>
      <w:r w:rsidRPr="00761044">
        <w:t xml:space="preserve">Важно, что </w:t>
      </w:r>
      <w:r>
        <w:t>на этих заседаниях</w:t>
      </w:r>
      <w:r w:rsidRPr="00761044">
        <w:t xml:space="preserve">, </w:t>
      </w:r>
      <w:r>
        <w:t>а также</w:t>
      </w:r>
      <w:r w:rsidRPr="00761044">
        <w:t xml:space="preserve"> в целой серии докладов еще с </w:t>
      </w:r>
      <w:r>
        <w:t>19</w:t>
      </w:r>
      <w:r w:rsidRPr="00761044">
        <w:t>90-х годов,</w:t>
      </w:r>
      <w:r>
        <w:t xml:space="preserve"> </w:t>
      </w:r>
      <w:r w:rsidRPr="00761044">
        <w:t xml:space="preserve">посвященных проблемам культуры на государственном и общественном уровне, включая относительно недавний доклад «Культура и будущая Россия: новый взгляд» </w:t>
      </w:r>
      <w:r>
        <w:t>(</w:t>
      </w:r>
      <w:r w:rsidRPr="00761044">
        <w:t>2006 г</w:t>
      </w:r>
      <w:r>
        <w:t>од)</w:t>
      </w:r>
      <w:r w:rsidRPr="00761044">
        <w:t xml:space="preserve"> и совсем недавнее событие – совместное заседание президиума Госсовета и Совета по культуре при президенте Российской Федерации в 2009 г</w:t>
      </w:r>
      <w:r>
        <w:t>оду,</w:t>
      </w:r>
      <w:r w:rsidRPr="00761044">
        <w:t xml:space="preserve"> последовательно выражается одна существенная идея: культура</w:t>
      </w:r>
      <w:proofErr w:type="gramEnd"/>
      <w:r w:rsidRPr="00761044">
        <w:t xml:space="preserve"> и наследие теперь понимаются, как важный ресурс </w:t>
      </w:r>
      <w:r>
        <w:t xml:space="preserve">социального, духовного и экономического </w:t>
      </w:r>
      <w:r w:rsidRPr="00761044">
        <w:t xml:space="preserve">развития. И в этой связи речь идет о том, чтобы раскрыть нераскрытые нормы законодательства и даже ввести новые категории законодательства. </w:t>
      </w:r>
      <w:r>
        <w:t>Э</w:t>
      </w:r>
      <w:r w:rsidRPr="00761044">
        <w:t>то уже было пройдено Европ</w:t>
      </w:r>
      <w:r>
        <w:t>ейским сообществом</w:t>
      </w:r>
      <w:r w:rsidRPr="00761044">
        <w:t xml:space="preserve"> в </w:t>
      </w:r>
      <w:r>
        <w:t>его</w:t>
      </w:r>
      <w:r w:rsidRPr="00761044">
        <w:t xml:space="preserve"> законодательных актах и коммюнике. Например, </w:t>
      </w:r>
      <w:r>
        <w:t xml:space="preserve">вышеупомянутый «План действий» 1998 года </w:t>
      </w:r>
      <w:r w:rsidRPr="00761044">
        <w:t xml:space="preserve">содержит такую фразу: «Признать появление новых категорий культурного наследия, в частности, культурных ландшафтов, объектов промышленного наследия культурного туризма». Именно эта </w:t>
      </w:r>
      <w:r>
        <w:t xml:space="preserve">фраза </w:t>
      </w:r>
      <w:r w:rsidRPr="00A862AA">
        <w:t>и связанная с ней мысль</w:t>
      </w:r>
      <w:r w:rsidRPr="00761044">
        <w:t xml:space="preserve"> стала рефреном в недавнем докладе на президиуме Госсовета и Совета по культуре и искусству при Президенте Российской Федерации в сентябре </w:t>
      </w:r>
      <w:r>
        <w:t>2009 года</w:t>
      </w:r>
      <w:r w:rsidRPr="00761044">
        <w:t>. Там была введена категория культурно-исторических центров с тем, чтобы объединить явления культурного наследия</w:t>
      </w:r>
      <w:r>
        <w:t>,</w:t>
      </w:r>
      <w:r w:rsidRPr="00761044">
        <w:t xml:space="preserve"> до сих пор не удостоившиеся должной степени внимания в нашем законодательстве. </w:t>
      </w:r>
    </w:p>
    <w:p w:rsidR="00F41507" w:rsidRPr="00761044" w:rsidRDefault="00F41507" w:rsidP="00F41507">
      <w:r w:rsidRPr="00761044">
        <w:t>В сложившейся практике комплексные, сложные объекты культурного наследия, культурно-природной среды, как таковые редко становятся предметом внимания на государственном уровне. В российском законодательстве имеются термины</w:t>
      </w:r>
      <w:r>
        <w:t xml:space="preserve"> </w:t>
      </w:r>
      <w:r w:rsidRPr="00761044">
        <w:t>«историческое поселение», «достопримечательное место», «места традиционного бытования народно-художественных промыслов». В международном законодател</w:t>
      </w:r>
      <w:r>
        <w:t xml:space="preserve">ьстве такие комплексные понятия, как, </w:t>
      </w:r>
      <w:r w:rsidRPr="00761044">
        <w:t xml:space="preserve">например, </w:t>
      </w:r>
      <w:r>
        <w:t>«</w:t>
      </w:r>
      <w:r w:rsidRPr="00761044">
        <w:t>списки объектов всемирного наследия</w:t>
      </w:r>
      <w:r>
        <w:t>»</w:t>
      </w:r>
      <w:r w:rsidRPr="00761044">
        <w:t xml:space="preserve"> используются достаточно широко и успешно. У нас к этому списку относится 23 объекта</w:t>
      </w:r>
      <w:r>
        <w:t xml:space="preserve"> – </w:t>
      </w:r>
      <w:r w:rsidRPr="00761044">
        <w:t xml:space="preserve">из них большинство объектов культурного наследия, и почти все эти объекты имеют </w:t>
      </w:r>
      <w:r w:rsidRPr="00761044">
        <w:lastRenderedPageBreak/>
        <w:t>комплексный характер. Например, исторические памятники Великого Новгорода и его окрестностей</w:t>
      </w:r>
      <w:r>
        <w:t>,</w:t>
      </w:r>
      <w:r w:rsidRPr="00761044">
        <w:t xml:space="preserve"> или Московский Кремль и Красная площадь, или исторический центр Санкт-Петербурга и связанная с ним группа памятников. В российском списке принятых под государственную охрану объектов, нет объектов под названием «исторический центр Санкт-Петербурга и связанная с ним группа памятников». Прежде всего, потому, что этот объект имеет комплексный характер, и не сводим к существующим понятиям «ансамбль» или «зона охраны». Предметом охраны этого объекта является не памятник, не группа памятников и даже не территория в собственном смысле этого слова, но городская панорама или городская среда, единство архитектурной и природной среды, имеющее уникальное визуальное выражение. Городскую панораму нельзя закрепить зонами охраны, ее могут нарушить высотные здания, не входящие в эту зону. </w:t>
      </w:r>
    </w:p>
    <w:p w:rsidR="00F41507" w:rsidRPr="00761044" w:rsidRDefault="00F41507" w:rsidP="00F41507">
      <w:r w:rsidRPr="00761044">
        <w:t xml:space="preserve">Пример недавних острых дискуссий в Санкт-Петербурге и других крупных городах России показывает, что отсутствие практики в применении комплексных понятий объектов наследия в целях сохранения исторических панорам, становится причиной серьезных общественных конфликтов, связанных с охраной исторической городской среды. И в то же время в России есть существенная трудность в работе с комплексными объектами наследия, внесенными в список всемирного наследия ЮНЕСКО. Потому что нет до сих пор полной ясности, выраженной в официальных документах о том, какие именно объекты входят в состав понятий ЮНЕСКО </w:t>
      </w:r>
      <w:r>
        <w:t>– «и</w:t>
      </w:r>
      <w:r w:rsidRPr="00761044">
        <w:t>сторические памятники Великого Новгорода и его окрестности» или тот же самый «исторический центр Санкт-Петербурга и связанная с ним группа памятников». В этой связи назрела необходимость провести работу по уточнению объектного состава этих комплексных памятников и утверждение на должном уровне соответствующих списков. Подобны</w:t>
      </w:r>
      <w:r>
        <w:t>е</w:t>
      </w:r>
      <w:r w:rsidRPr="00761044">
        <w:t xml:space="preserve"> списки могут придать не только определенность терминам, применяемым ЮНЕСКО, но будут прямо влиять на категорию охраны и на хозяйственное использование этих объектов наследия. </w:t>
      </w:r>
    </w:p>
    <w:p w:rsidR="00F41507" w:rsidRPr="00761044" w:rsidRDefault="00F41507" w:rsidP="00F41507">
      <w:r w:rsidRPr="00761044">
        <w:t>Есть еще несколько мыслей, которые можно было бы высказать, может быть, на уровне р</w:t>
      </w:r>
      <w:r>
        <w:t>екомендации в итоговый документ.</w:t>
      </w:r>
      <w:r w:rsidRPr="00761044">
        <w:t xml:space="preserve"> </w:t>
      </w:r>
      <w:r>
        <w:t>М</w:t>
      </w:r>
      <w:r w:rsidRPr="00761044">
        <w:t>не думается, что сейчас создается интересная и благоприятная среда для оптимизации правового пространства российской культуры в связи с существующими нормами, в том числе международного европейского права, в области культуры и культурного наследия. И, в частности, результатом проведения совместного заседания президиума Госсовета и Совета по культуре и искусству при Президенте Российской Федерации был ряд рекомендаций, в которых содержатся и понятия, и необходимая база для того, чтобы исполнение этих рекомендаций гармонизировало</w:t>
      </w:r>
      <w:r>
        <w:t xml:space="preserve"> </w:t>
      </w:r>
      <w:r w:rsidRPr="00761044">
        <w:t xml:space="preserve">правовую среду между Россией и Евросоюзом в области культуры и культурного наследия. </w:t>
      </w:r>
    </w:p>
    <w:p w:rsidR="00F41507" w:rsidRPr="00761044" w:rsidRDefault="00F41507" w:rsidP="00F41507">
      <w:r w:rsidRPr="00761044">
        <w:t xml:space="preserve">Конечно, в число рекомендаций, на мой взгляд, следует </w:t>
      </w:r>
      <w:r>
        <w:t>записать:</w:t>
      </w:r>
      <w:r w:rsidRPr="00761044">
        <w:t xml:space="preserve"> во-первых, раскрытие </w:t>
      </w:r>
      <w:r>
        <w:t xml:space="preserve">комплексных </w:t>
      </w:r>
      <w:r w:rsidRPr="00761044">
        <w:t xml:space="preserve">понятий культурного наследия, которые входят в международные списки; </w:t>
      </w:r>
      <w:r>
        <w:t xml:space="preserve">во-вторых, </w:t>
      </w:r>
      <w:r w:rsidRPr="00761044">
        <w:t>совершенствование правовой базы, котор</w:t>
      </w:r>
      <w:r>
        <w:t>о</w:t>
      </w:r>
      <w:r w:rsidRPr="00761044">
        <w:t>е тоже связан</w:t>
      </w:r>
      <w:r>
        <w:t>о</w:t>
      </w:r>
      <w:r w:rsidRPr="00761044">
        <w:t xml:space="preserve"> с функционирующими в международной практике комплексными понятиями</w:t>
      </w:r>
      <w:r>
        <w:t>,</w:t>
      </w:r>
      <w:r w:rsidRPr="00761044">
        <w:t xml:space="preserve"> и раскрытие, оптимизаци</w:t>
      </w:r>
      <w:r>
        <w:t>я</w:t>
      </w:r>
      <w:r w:rsidRPr="00761044">
        <w:t xml:space="preserve"> существования таких явлений, как музей-заповедник, музей-усадьба, историческое поселение, место традиционного быто</w:t>
      </w:r>
      <w:r>
        <w:t xml:space="preserve">вания художественных промыслов. </w:t>
      </w:r>
    </w:p>
    <w:p w:rsidR="00F41507" w:rsidRPr="00761044" w:rsidRDefault="00F41507" w:rsidP="00F41507">
      <w:r w:rsidRPr="00761044">
        <w:t>Все эти вещи</w:t>
      </w:r>
      <w:r>
        <w:t xml:space="preserve"> –</w:t>
      </w:r>
      <w:r w:rsidRPr="00761044">
        <w:t xml:space="preserve"> действительно важные метки на культурной </w:t>
      </w:r>
      <w:r>
        <w:t>карте</w:t>
      </w:r>
      <w:r w:rsidRPr="00761044">
        <w:t xml:space="preserve"> страны, и оптимизация их законодательной сферы существования может в значительной степени повлиять на взаимопонимание, на тождество и гармонизацию правовой среды между Европой и Россией. </w:t>
      </w:r>
    </w:p>
    <w:p w:rsidR="00F41507" w:rsidRDefault="00F41507" w:rsidP="00F41507">
      <w:pPr>
        <w:spacing w:before="288" w:after="288"/>
      </w:pPr>
      <w:r w:rsidRPr="00761044">
        <w:t>Последнее, что я хотел бы заметить</w:t>
      </w:r>
      <w:r>
        <w:t xml:space="preserve">: </w:t>
      </w:r>
      <w:r w:rsidRPr="00761044">
        <w:t xml:space="preserve">мир не знает тех стран, в которых бы государство отказывалось бы от поддержки культуры, в первую очередь, финансовой. В России сейчас без государственной поддержки культуре никак не обойтись. Но важно то, что не все инициативы должны исходить </w:t>
      </w:r>
      <w:r>
        <w:t xml:space="preserve">от </w:t>
      </w:r>
      <w:r w:rsidRPr="00761044">
        <w:t>государств</w:t>
      </w:r>
      <w:r>
        <w:t>а</w:t>
      </w:r>
      <w:r w:rsidRPr="00761044">
        <w:t xml:space="preserve">. </w:t>
      </w:r>
      <w:r>
        <w:t xml:space="preserve">Например, </w:t>
      </w:r>
      <w:r w:rsidRPr="00761044">
        <w:t xml:space="preserve">Государственный институт естествознания имеет полезный, </w:t>
      </w:r>
      <w:r>
        <w:t xml:space="preserve">достаточно </w:t>
      </w:r>
      <w:r w:rsidRPr="00761044">
        <w:t xml:space="preserve">долгий опыт сотрудничества на </w:t>
      </w:r>
      <w:r w:rsidRPr="00761044">
        <w:lastRenderedPageBreak/>
        <w:t xml:space="preserve">уровне экспертного сообщества, на уровне общественных движений с международным экспертным сообществом. И это очень важный позитивный момент, </w:t>
      </w:r>
      <w:r>
        <w:t>потому что такая</w:t>
      </w:r>
      <w:r w:rsidRPr="00761044">
        <w:t xml:space="preserve"> сложно сплетающаяся среда между Европой и Россией как раз и способствует </w:t>
      </w:r>
      <w:r>
        <w:t>проникновению</w:t>
      </w:r>
      <w:r w:rsidRPr="00761044">
        <w:t xml:space="preserve"> </w:t>
      </w:r>
      <w:r>
        <w:t xml:space="preserve">наверх </w:t>
      </w:r>
      <w:r w:rsidRPr="00761044">
        <w:t>прогрессивны</w:t>
      </w:r>
      <w:r>
        <w:t>х</w:t>
      </w:r>
      <w:r w:rsidRPr="00761044">
        <w:t xml:space="preserve"> иде</w:t>
      </w:r>
      <w:r>
        <w:t>й</w:t>
      </w:r>
      <w:r w:rsidRPr="00761044">
        <w:t>, в том числе международного законодательства, и</w:t>
      </w:r>
      <w:r>
        <w:t xml:space="preserve"> их внедрению в нормы нашего </w:t>
      </w:r>
      <w:r w:rsidRPr="00761044">
        <w:t xml:space="preserve">законодательства. </w:t>
      </w:r>
      <w:r>
        <w:t xml:space="preserve">По моему мнению, в итоговом документе международного семинара также нужно </w:t>
      </w:r>
      <w:r w:rsidRPr="00761044">
        <w:t>подчеркнуть</w:t>
      </w:r>
      <w:r>
        <w:t xml:space="preserve"> необходимость всемерного содействия</w:t>
      </w:r>
      <w:r w:rsidRPr="00761044">
        <w:t xml:space="preserve"> расширению взаимосвязи между российским и европейским экспертным профессиональным сообществом в сфере культуры и культурного наследия.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41507"/>
    <w:rsid w:val="004F0260"/>
    <w:rsid w:val="00B7748F"/>
    <w:rsid w:val="00F41507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07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507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F41507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2010-04-06T12:21:00Z</dcterms:created>
  <dcterms:modified xsi:type="dcterms:W3CDTF">2010-04-06T12:21:00Z</dcterms:modified>
</cp:coreProperties>
</file>